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D" w:rsidRPr="00A22D19" w:rsidRDefault="00402B0D" w:rsidP="008426D3">
      <w:pPr>
        <w:jc w:val="center"/>
        <w:rPr>
          <w:rFonts w:ascii="Arial" w:hAnsi="Arial" w:cs="Arial"/>
          <w:b/>
          <w:sz w:val="24"/>
        </w:rPr>
      </w:pPr>
      <w:r w:rsidRPr="00A22D19">
        <w:rPr>
          <w:rFonts w:ascii="Arial" w:hAnsi="Arial" w:cs="Arial"/>
          <w:b/>
          <w:sz w:val="24"/>
        </w:rPr>
        <w:t xml:space="preserve">Испытание </w:t>
      </w:r>
      <w:r w:rsidR="008426D3" w:rsidRPr="00A22D19">
        <w:rPr>
          <w:rFonts w:ascii="Arial" w:hAnsi="Arial" w:cs="Arial"/>
          <w:b/>
          <w:sz w:val="24"/>
        </w:rPr>
        <w:t xml:space="preserve">КАЛЬЦИЕВОГО КОМПЛЕКСА </w:t>
      </w:r>
      <w:r w:rsidRPr="00A22D19">
        <w:rPr>
          <w:rFonts w:ascii="Arial" w:hAnsi="Arial" w:cs="Arial"/>
          <w:b/>
          <w:sz w:val="24"/>
        </w:rPr>
        <w:t xml:space="preserve">компании ВИТАМАКС </w:t>
      </w:r>
      <w:r w:rsidR="008426D3" w:rsidRPr="00A22D19">
        <w:rPr>
          <w:rFonts w:ascii="Arial" w:hAnsi="Arial" w:cs="Arial"/>
          <w:b/>
          <w:sz w:val="24"/>
        </w:rPr>
        <w:br/>
      </w:r>
      <w:r w:rsidRPr="00A22D19">
        <w:rPr>
          <w:rFonts w:ascii="Arial" w:hAnsi="Arial" w:cs="Arial"/>
          <w:b/>
          <w:sz w:val="24"/>
        </w:rPr>
        <w:t xml:space="preserve">в лечении </w:t>
      </w:r>
      <w:proofErr w:type="spellStart"/>
      <w:r w:rsidRPr="00A22D19">
        <w:rPr>
          <w:rFonts w:ascii="Arial" w:hAnsi="Arial" w:cs="Arial"/>
          <w:b/>
          <w:sz w:val="24"/>
        </w:rPr>
        <w:t>остеопенических</w:t>
      </w:r>
      <w:proofErr w:type="spellEnd"/>
      <w:r w:rsidRPr="00A22D19">
        <w:rPr>
          <w:rFonts w:ascii="Arial" w:hAnsi="Arial" w:cs="Arial"/>
          <w:b/>
          <w:sz w:val="24"/>
        </w:rPr>
        <w:t xml:space="preserve"> состояний</w:t>
      </w:r>
    </w:p>
    <w:p w:rsidR="00402B0D" w:rsidRPr="008426D3" w:rsidRDefault="00402B0D" w:rsidP="00402B0D">
      <w:pPr>
        <w:rPr>
          <w:rFonts w:ascii="Arial" w:hAnsi="Arial" w:cs="Arial"/>
        </w:rPr>
      </w:pPr>
    </w:p>
    <w:p w:rsidR="00402B0D" w:rsidRPr="008426D3" w:rsidRDefault="00402B0D" w:rsidP="00402B0D">
      <w:pPr>
        <w:jc w:val="right"/>
        <w:rPr>
          <w:rFonts w:ascii="Arial" w:hAnsi="Arial" w:cs="Arial"/>
          <w:i/>
        </w:rPr>
      </w:pPr>
      <w:r w:rsidRPr="008426D3">
        <w:rPr>
          <w:rFonts w:ascii="Arial" w:hAnsi="Arial" w:cs="Arial"/>
          <w:i/>
        </w:rPr>
        <w:t xml:space="preserve">Н. В. </w:t>
      </w:r>
      <w:proofErr w:type="spellStart"/>
      <w:r w:rsidRPr="008426D3">
        <w:rPr>
          <w:rFonts w:ascii="Arial" w:hAnsi="Arial" w:cs="Arial"/>
          <w:i/>
        </w:rPr>
        <w:t>Дедух</w:t>
      </w:r>
      <w:proofErr w:type="spellEnd"/>
      <w:r w:rsidRPr="008426D3">
        <w:rPr>
          <w:rFonts w:ascii="Arial" w:hAnsi="Arial" w:cs="Arial"/>
          <w:i/>
        </w:rPr>
        <w:t xml:space="preserve">, </w:t>
      </w:r>
      <w:r w:rsidR="008426D3" w:rsidRPr="008426D3">
        <w:rPr>
          <w:rFonts w:ascii="Arial" w:hAnsi="Arial" w:cs="Arial"/>
          <w:i/>
        </w:rPr>
        <w:br/>
      </w:r>
      <w:r w:rsidRPr="008426D3">
        <w:rPr>
          <w:rFonts w:ascii="Arial" w:hAnsi="Arial" w:cs="Arial"/>
          <w:i/>
        </w:rPr>
        <w:t xml:space="preserve">С.В. Малышкина, </w:t>
      </w:r>
      <w:r w:rsidRPr="008426D3">
        <w:rPr>
          <w:rFonts w:ascii="Arial" w:hAnsi="Arial" w:cs="Arial"/>
          <w:i/>
        </w:rPr>
        <w:br/>
        <w:t xml:space="preserve">НИИ ортопедии и травматологии им. проф. М. И. </w:t>
      </w:r>
      <w:proofErr w:type="spellStart"/>
      <w:r w:rsidRPr="008426D3">
        <w:rPr>
          <w:rFonts w:ascii="Arial" w:hAnsi="Arial" w:cs="Arial"/>
          <w:i/>
        </w:rPr>
        <w:t>Ситенко</w:t>
      </w:r>
      <w:proofErr w:type="spellEnd"/>
      <w:r w:rsidRPr="008426D3">
        <w:rPr>
          <w:rFonts w:ascii="Arial" w:hAnsi="Arial" w:cs="Arial"/>
          <w:i/>
        </w:rPr>
        <w:t xml:space="preserve">, </w:t>
      </w:r>
      <w:r w:rsidRPr="008426D3">
        <w:rPr>
          <w:rFonts w:ascii="Arial" w:hAnsi="Arial" w:cs="Arial"/>
          <w:i/>
        </w:rPr>
        <w:br/>
        <w:t xml:space="preserve">г. Харьков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 – это системное метаболическое заболевание скелета, которое характеризуется снижением костной массы и микроструктурными повреждениями костной ткани, приводящими к повышенной ломкости костей и, вследствие этого, к повышению риска переломов.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По предварительным данным на Украине </w:t>
      </w:r>
      <w:proofErr w:type="spellStart"/>
      <w:r w:rsidRPr="008426D3">
        <w:rPr>
          <w:rFonts w:ascii="Arial" w:hAnsi="Arial" w:cs="Arial"/>
        </w:rPr>
        <w:t>остеопорозом</w:t>
      </w:r>
      <w:proofErr w:type="spellEnd"/>
      <w:r w:rsidRPr="008426D3">
        <w:rPr>
          <w:rFonts w:ascii="Arial" w:hAnsi="Arial" w:cs="Arial"/>
        </w:rPr>
        <w:t xml:space="preserve"> болеют 11-12% населения. Более подвержены </w:t>
      </w:r>
      <w:proofErr w:type="spellStart"/>
      <w:r w:rsidRPr="008426D3">
        <w:rPr>
          <w:rFonts w:ascii="Arial" w:hAnsi="Arial" w:cs="Arial"/>
        </w:rPr>
        <w:t>остеопорозу</w:t>
      </w:r>
      <w:proofErr w:type="spellEnd"/>
      <w:r w:rsidRPr="008426D3">
        <w:rPr>
          <w:rFonts w:ascii="Arial" w:hAnsi="Arial" w:cs="Arial"/>
        </w:rPr>
        <w:t xml:space="preserve"> женщины, распространенность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среди женщин старшего возраста – 20-39%, а у мужчин – 9-23%.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Известно, что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 </w:t>
      </w:r>
      <w:proofErr w:type="gramStart"/>
      <w:r w:rsidRPr="008426D3">
        <w:rPr>
          <w:rFonts w:ascii="Arial" w:hAnsi="Arial" w:cs="Arial"/>
        </w:rPr>
        <w:t>опасен</w:t>
      </w:r>
      <w:proofErr w:type="gramEnd"/>
      <w:r w:rsidRPr="008426D3">
        <w:rPr>
          <w:rFonts w:ascii="Arial" w:hAnsi="Arial" w:cs="Arial"/>
        </w:rPr>
        <w:t xml:space="preserve"> своими тяжелыми осложнениями в виде переломов. Для 50-летней женщины риск перелома позвоночника, шейки бедра и запястья составляют 15-17%. Каждая третья женщина после 65 лет переносит в своей жизни перелом тел позвонков. 30% больных с переломом шейки бедра умирают в течение 6 месяцев после перелома.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Научные исследования последних лет показали, что течение многих ортопедических заболеваний отягощается, если эти заболевания развиваются на фоне </w:t>
      </w:r>
      <w:proofErr w:type="spellStart"/>
      <w:r w:rsidRPr="008426D3">
        <w:rPr>
          <w:rFonts w:ascii="Arial" w:hAnsi="Arial" w:cs="Arial"/>
        </w:rPr>
        <w:t>остеопенических</w:t>
      </w:r>
      <w:proofErr w:type="spellEnd"/>
      <w:r w:rsidRPr="008426D3">
        <w:rPr>
          <w:rFonts w:ascii="Arial" w:hAnsi="Arial" w:cs="Arial"/>
        </w:rPr>
        <w:t xml:space="preserve"> состояний. Среди таких заболеваний – </w:t>
      </w:r>
      <w:proofErr w:type="spellStart"/>
      <w:r w:rsidRPr="008426D3">
        <w:rPr>
          <w:rFonts w:ascii="Arial" w:hAnsi="Arial" w:cs="Arial"/>
        </w:rPr>
        <w:t>несрастающиеся</w:t>
      </w:r>
      <w:proofErr w:type="spellEnd"/>
      <w:r w:rsidRPr="008426D3">
        <w:rPr>
          <w:rFonts w:ascii="Arial" w:hAnsi="Arial" w:cs="Arial"/>
        </w:rPr>
        <w:t xml:space="preserve"> переломы костей, сколиоз, </w:t>
      </w:r>
      <w:proofErr w:type="spellStart"/>
      <w:r w:rsidRPr="008426D3">
        <w:rPr>
          <w:rFonts w:ascii="Arial" w:hAnsi="Arial" w:cs="Arial"/>
        </w:rPr>
        <w:t>остеоартроз</w:t>
      </w:r>
      <w:proofErr w:type="spellEnd"/>
      <w:r w:rsidRPr="008426D3">
        <w:rPr>
          <w:rFonts w:ascii="Arial" w:hAnsi="Arial" w:cs="Arial"/>
        </w:rPr>
        <w:t xml:space="preserve">, остеохондроз и др.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 связи с этим проблема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является одной из наиболее </w:t>
      </w:r>
      <w:proofErr w:type="gramStart"/>
      <w:r w:rsidRPr="008426D3">
        <w:rPr>
          <w:rFonts w:ascii="Arial" w:hAnsi="Arial" w:cs="Arial"/>
        </w:rPr>
        <w:t>актуальных</w:t>
      </w:r>
      <w:proofErr w:type="gramEnd"/>
      <w:r w:rsidRPr="008426D3">
        <w:rPr>
          <w:rFonts w:ascii="Arial" w:hAnsi="Arial" w:cs="Arial"/>
        </w:rPr>
        <w:t xml:space="preserve"> и социально значимых.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Факторами риска возникновения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являются: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возраст;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пол (женский);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кортикостероидная терапия;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применение противосудорожных препаратов;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генетические факторы;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эндокринные факторы – недостаток эстрогенов, андрогенов;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вредные факторы внешней среды – курение, химические и радиологические агенты;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недостаточно сбалансированное питание;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образ жизни – гипокинезия.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Клиническая картина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чаще всего связана с изменением осанки, деформацией грудной клетки (так называемый «вдовий горб»), снижением роста, болями в спине, особенно выраженными при ходьбе и длительном стоянии, компрессионными переломами позвоночника и длинных костей.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Важным аспектом данной проблемы является профилактика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, которая связана с ранним выявлением групп людей с </w:t>
      </w:r>
      <w:proofErr w:type="spellStart"/>
      <w:r w:rsidRPr="008426D3">
        <w:rPr>
          <w:rFonts w:ascii="Arial" w:hAnsi="Arial" w:cs="Arial"/>
        </w:rPr>
        <w:t>остеопеническими</w:t>
      </w:r>
      <w:proofErr w:type="spellEnd"/>
      <w:r w:rsidRPr="008426D3">
        <w:rPr>
          <w:rFonts w:ascii="Arial" w:hAnsi="Arial" w:cs="Arial"/>
        </w:rPr>
        <w:t xml:space="preserve"> состояниями и риском переломов.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Для диагностики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и оценки качества его лечения в настоящее время используют костные денситометры, приводят оценку биохимических маркеров метаболизма костной ткани, рентгенометрический анализ, компьютерные </w:t>
      </w:r>
      <w:proofErr w:type="spellStart"/>
      <w:r w:rsidRPr="008426D3">
        <w:rPr>
          <w:rFonts w:ascii="Arial" w:hAnsi="Arial" w:cs="Arial"/>
        </w:rPr>
        <w:t>томмографы</w:t>
      </w:r>
      <w:proofErr w:type="spellEnd"/>
      <w:r w:rsidRPr="008426D3">
        <w:rPr>
          <w:rFonts w:ascii="Arial" w:hAnsi="Arial" w:cs="Arial"/>
        </w:rPr>
        <w:t xml:space="preserve">. </w:t>
      </w:r>
    </w:p>
    <w:p w:rsidR="00402B0D" w:rsidRPr="008426D3" w:rsidRDefault="00402B0D" w:rsidP="00FB0B65">
      <w:pPr>
        <w:spacing w:after="0" w:line="240" w:lineRule="auto"/>
        <w:ind w:firstLine="284"/>
        <w:jc w:val="both"/>
        <w:rPr>
          <w:rFonts w:ascii="Arial" w:hAnsi="Arial" w:cs="Arial"/>
        </w:rPr>
      </w:pPr>
      <w:proofErr w:type="gramStart"/>
      <w:r w:rsidRPr="008426D3">
        <w:rPr>
          <w:rFonts w:ascii="Arial" w:hAnsi="Arial" w:cs="Arial"/>
        </w:rPr>
        <w:t xml:space="preserve">Костная </w:t>
      </w:r>
      <w:proofErr w:type="spellStart"/>
      <w:r w:rsidRPr="008426D3">
        <w:rPr>
          <w:rFonts w:ascii="Arial" w:hAnsi="Arial" w:cs="Arial"/>
        </w:rPr>
        <w:t>денситеометрия</w:t>
      </w:r>
      <w:proofErr w:type="spellEnd"/>
      <w:r w:rsidRPr="008426D3">
        <w:rPr>
          <w:rFonts w:ascii="Arial" w:hAnsi="Arial" w:cs="Arial"/>
        </w:rPr>
        <w:t xml:space="preserve"> позволяет оценить потерю костной м</w:t>
      </w:r>
      <w:r w:rsidR="00C278AC">
        <w:rPr>
          <w:rFonts w:ascii="Arial" w:hAnsi="Arial" w:cs="Arial"/>
        </w:rPr>
        <w:t xml:space="preserve">ассы в различных костях скелета </w:t>
      </w:r>
      <w:r w:rsidRPr="008426D3">
        <w:rPr>
          <w:rFonts w:ascii="Arial" w:hAnsi="Arial" w:cs="Arial"/>
        </w:rPr>
        <w:t>на ран</w:t>
      </w:r>
      <w:r w:rsidR="004564A3">
        <w:rPr>
          <w:rFonts w:ascii="Arial" w:hAnsi="Arial" w:cs="Arial"/>
        </w:rPr>
        <w:t>них стадиях с точностью до 2-5%.</w:t>
      </w:r>
      <w:r w:rsidRPr="008426D3">
        <w:rPr>
          <w:rFonts w:ascii="Arial" w:hAnsi="Arial" w:cs="Arial"/>
        </w:rPr>
        <w:t xml:space="preserve"> Основными показателями, определяющими</w:t>
      </w:r>
      <w:r w:rsidR="004564A3">
        <w:rPr>
          <w:rFonts w:ascii="Arial" w:hAnsi="Arial" w:cs="Arial"/>
        </w:rPr>
        <w:t xml:space="preserve"> </w:t>
      </w:r>
      <w:r w:rsidRPr="008426D3">
        <w:rPr>
          <w:rFonts w:ascii="Arial" w:hAnsi="Arial" w:cs="Arial"/>
        </w:rPr>
        <w:t xml:space="preserve">минеральную плотность костной ткани, являются: содержание минералов в кости (ВМС), </w:t>
      </w:r>
      <w:r w:rsidR="004564A3">
        <w:rPr>
          <w:rFonts w:ascii="Arial" w:hAnsi="Arial" w:cs="Arial"/>
        </w:rPr>
        <w:t>(</w:t>
      </w:r>
      <w:r w:rsidRPr="008426D3">
        <w:rPr>
          <w:rFonts w:ascii="Arial" w:hAnsi="Arial" w:cs="Arial"/>
        </w:rPr>
        <w:t>выраженное в г/см минералов в исследуемых участках</w:t>
      </w:r>
      <w:r w:rsidR="004564A3">
        <w:rPr>
          <w:rFonts w:ascii="Arial" w:hAnsi="Arial" w:cs="Arial"/>
        </w:rPr>
        <w:t>)</w:t>
      </w:r>
      <w:r w:rsidRPr="008426D3">
        <w:rPr>
          <w:rFonts w:ascii="Arial" w:hAnsi="Arial" w:cs="Arial"/>
        </w:rPr>
        <w:t xml:space="preserve"> </w:t>
      </w:r>
      <w:r w:rsidR="00FB0B65">
        <w:rPr>
          <w:rFonts w:ascii="Arial" w:hAnsi="Arial" w:cs="Arial"/>
        </w:rPr>
        <w:t>и</w:t>
      </w:r>
      <w:r w:rsidRPr="008426D3">
        <w:rPr>
          <w:rFonts w:ascii="Arial" w:hAnsi="Arial" w:cs="Arial"/>
        </w:rPr>
        <w:t xml:space="preserve"> минеральная плотность кости (BMD), </w:t>
      </w:r>
      <w:r w:rsidR="004564A3">
        <w:rPr>
          <w:rFonts w:ascii="Arial" w:hAnsi="Arial" w:cs="Arial"/>
        </w:rPr>
        <w:t>(</w:t>
      </w:r>
      <w:r w:rsidRPr="008426D3">
        <w:rPr>
          <w:rFonts w:ascii="Arial" w:hAnsi="Arial" w:cs="Arial"/>
        </w:rPr>
        <w:t>рассчитывается на диаметр кости и выражается в г/</w:t>
      </w:r>
      <w:proofErr w:type="spellStart"/>
      <w:r w:rsidRPr="008426D3">
        <w:rPr>
          <w:rFonts w:ascii="Arial" w:hAnsi="Arial" w:cs="Arial"/>
        </w:rPr>
        <w:t>смІ</w:t>
      </w:r>
      <w:proofErr w:type="spellEnd"/>
      <w:r w:rsidR="004564A3">
        <w:rPr>
          <w:rFonts w:ascii="Arial" w:hAnsi="Arial" w:cs="Arial"/>
        </w:rPr>
        <w:t>)</w:t>
      </w:r>
      <w:r w:rsidRPr="008426D3">
        <w:rPr>
          <w:rFonts w:ascii="Arial" w:hAnsi="Arial" w:cs="Arial"/>
        </w:rPr>
        <w:t>.</w:t>
      </w:r>
      <w:proofErr w:type="gramEnd"/>
      <w:r w:rsidRPr="008426D3">
        <w:rPr>
          <w:rFonts w:ascii="Arial" w:hAnsi="Arial" w:cs="Arial"/>
        </w:rPr>
        <w:t xml:space="preserve"> </w:t>
      </w:r>
      <w:proofErr w:type="gramStart"/>
      <w:r w:rsidRPr="008426D3">
        <w:rPr>
          <w:rFonts w:ascii="Arial" w:hAnsi="Arial" w:cs="Arial"/>
        </w:rPr>
        <w:t>При анализе определяется также величина стандартного</w:t>
      </w:r>
      <w:proofErr w:type="gramEnd"/>
      <w:r w:rsidRPr="008426D3">
        <w:rPr>
          <w:rFonts w:ascii="Arial" w:hAnsi="Arial" w:cs="Arial"/>
        </w:rPr>
        <w:t xml:space="preserve"> </w:t>
      </w:r>
      <w:proofErr w:type="gramStart"/>
      <w:r w:rsidRPr="008426D3">
        <w:rPr>
          <w:rFonts w:ascii="Arial" w:hAnsi="Arial" w:cs="Arial"/>
        </w:rPr>
        <w:t>отклонения</w:t>
      </w:r>
      <w:proofErr w:type="gramEnd"/>
      <w:r w:rsidRPr="008426D3">
        <w:rPr>
          <w:rFonts w:ascii="Arial" w:hAnsi="Arial" w:cs="Arial"/>
        </w:rPr>
        <w:t xml:space="preserve"> от средней теоретической нормы SD и Т-критерий в процентах от пика костной массы у лиц соответствующего пола, который выражается в величинах стандартного отклонения.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По предложению ВОЗ величина SD Z </w:t>
      </w:r>
      <w:proofErr w:type="spellStart"/>
      <w:r w:rsidRPr="008426D3">
        <w:rPr>
          <w:rFonts w:ascii="Arial" w:hAnsi="Arial" w:cs="Arial"/>
        </w:rPr>
        <w:t>score</w:t>
      </w:r>
      <w:proofErr w:type="spellEnd"/>
      <w:r w:rsidRPr="008426D3">
        <w:rPr>
          <w:rFonts w:ascii="Arial" w:hAnsi="Arial" w:cs="Arial"/>
        </w:rPr>
        <w:t xml:space="preserve">: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lastRenderedPageBreak/>
        <w:t xml:space="preserve">От –1 до –1,5 рассматривается как </w:t>
      </w:r>
      <w:proofErr w:type="spellStart"/>
      <w:r w:rsidRPr="008426D3">
        <w:rPr>
          <w:rFonts w:ascii="Arial" w:hAnsi="Arial" w:cs="Arial"/>
        </w:rPr>
        <w:t>остеопения</w:t>
      </w:r>
      <w:proofErr w:type="spellEnd"/>
      <w:r w:rsidRPr="008426D3">
        <w:rPr>
          <w:rFonts w:ascii="Arial" w:hAnsi="Arial" w:cs="Arial"/>
        </w:rPr>
        <w:t xml:space="preserve"> первой степени;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От –1,5 до –2,0 – </w:t>
      </w:r>
      <w:proofErr w:type="spellStart"/>
      <w:r w:rsidRPr="008426D3">
        <w:rPr>
          <w:rFonts w:ascii="Arial" w:hAnsi="Arial" w:cs="Arial"/>
        </w:rPr>
        <w:t>остеопения</w:t>
      </w:r>
      <w:proofErr w:type="spellEnd"/>
      <w:r w:rsidRPr="008426D3">
        <w:rPr>
          <w:rFonts w:ascii="Arial" w:hAnsi="Arial" w:cs="Arial"/>
        </w:rPr>
        <w:t xml:space="preserve"> второй степени;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От –2,5 и менее – 2,5 –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От –2,5 и менее с наличием одного </w:t>
      </w:r>
      <w:proofErr w:type="spellStart"/>
      <w:r w:rsidRPr="008426D3">
        <w:rPr>
          <w:rFonts w:ascii="Arial" w:hAnsi="Arial" w:cs="Arial"/>
        </w:rPr>
        <w:t>остеопоротического</w:t>
      </w:r>
      <w:proofErr w:type="spellEnd"/>
      <w:r w:rsidRPr="008426D3">
        <w:rPr>
          <w:rFonts w:ascii="Arial" w:hAnsi="Arial" w:cs="Arial"/>
        </w:rPr>
        <w:t xml:space="preserve"> перелома – как </w:t>
      </w:r>
      <w:proofErr w:type="spellStart"/>
      <w:r w:rsidRPr="008426D3">
        <w:rPr>
          <w:rFonts w:ascii="Arial" w:hAnsi="Arial" w:cs="Arial"/>
        </w:rPr>
        <w:t>манифестирущий</w:t>
      </w:r>
      <w:proofErr w:type="spellEnd"/>
      <w:r w:rsidRPr="008426D3">
        <w:rPr>
          <w:rFonts w:ascii="Arial" w:hAnsi="Arial" w:cs="Arial"/>
        </w:rPr>
        <w:t xml:space="preserve">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 лечении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выделяют три основных принципа: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этиологический;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симптоматический;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 - </w:t>
      </w:r>
      <w:proofErr w:type="gramStart"/>
      <w:r w:rsidRPr="008426D3">
        <w:rPr>
          <w:rFonts w:ascii="Arial" w:hAnsi="Arial" w:cs="Arial"/>
        </w:rPr>
        <w:t>патогенетический</w:t>
      </w:r>
      <w:proofErr w:type="gramEnd"/>
      <w:r w:rsidRPr="008426D3">
        <w:rPr>
          <w:rFonts w:ascii="Arial" w:hAnsi="Arial" w:cs="Arial"/>
        </w:rPr>
        <w:t xml:space="preserve">, направленный на нормализацию процессов костного </w:t>
      </w:r>
      <w:proofErr w:type="spellStart"/>
      <w:r w:rsidRPr="008426D3">
        <w:rPr>
          <w:rFonts w:ascii="Arial" w:hAnsi="Arial" w:cs="Arial"/>
        </w:rPr>
        <w:t>ремоделирования</w:t>
      </w:r>
      <w:proofErr w:type="spellEnd"/>
      <w:r w:rsidRPr="008426D3">
        <w:rPr>
          <w:rFonts w:ascii="Arial" w:hAnsi="Arial" w:cs="Arial"/>
        </w:rPr>
        <w:t xml:space="preserve">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Все средства патогенетической терапии и профилактики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 xml:space="preserve"> можно разделить по преобладающему механизму действия на три группы: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средства, преимущественно угнетающие костную резорбцию (эстрогены, </w:t>
      </w:r>
      <w:proofErr w:type="spellStart"/>
      <w:r w:rsidRPr="008426D3">
        <w:rPr>
          <w:rFonts w:ascii="Arial" w:hAnsi="Arial" w:cs="Arial"/>
        </w:rPr>
        <w:t>кальцитонины</w:t>
      </w:r>
      <w:proofErr w:type="spellEnd"/>
      <w:r w:rsidRPr="008426D3">
        <w:rPr>
          <w:rFonts w:ascii="Arial" w:hAnsi="Arial" w:cs="Arial"/>
        </w:rPr>
        <w:t xml:space="preserve">, </w:t>
      </w:r>
      <w:proofErr w:type="spellStart"/>
      <w:r w:rsidRPr="008426D3">
        <w:rPr>
          <w:rFonts w:ascii="Arial" w:hAnsi="Arial" w:cs="Arial"/>
        </w:rPr>
        <w:t>бисфосфонаты</w:t>
      </w:r>
      <w:proofErr w:type="spellEnd"/>
      <w:r w:rsidRPr="008426D3">
        <w:rPr>
          <w:rFonts w:ascii="Arial" w:hAnsi="Arial" w:cs="Arial"/>
        </w:rPr>
        <w:t xml:space="preserve">);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- препараты, стимулирующие костеобразование (фториды, соматотропный гормон, анаболические стероиды);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>- препараты многопланового действия (витамин</w:t>
      </w:r>
      <w:proofErr w:type="gramStart"/>
      <w:r w:rsidRPr="008426D3">
        <w:rPr>
          <w:rFonts w:ascii="Arial" w:hAnsi="Arial" w:cs="Arial"/>
        </w:rPr>
        <w:t xml:space="preserve"> Д</w:t>
      </w:r>
      <w:proofErr w:type="gramEnd"/>
      <w:r w:rsidRPr="008426D3">
        <w:rPr>
          <w:rFonts w:ascii="Arial" w:hAnsi="Arial" w:cs="Arial"/>
        </w:rPr>
        <w:t xml:space="preserve"> и его активные метаболиты, </w:t>
      </w:r>
      <w:proofErr w:type="spellStart"/>
      <w:r w:rsidRPr="008426D3">
        <w:rPr>
          <w:rFonts w:ascii="Arial" w:hAnsi="Arial" w:cs="Arial"/>
        </w:rPr>
        <w:t>иприфлавон</w:t>
      </w:r>
      <w:proofErr w:type="spellEnd"/>
      <w:r w:rsidRPr="008426D3">
        <w:rPr>
          <w:rFonts w:ascii="Arial" w:hAnsi="Arial" w:cs="Arial"/>
        </w:rPr>
        <w:t xml:space="preserve">, </w:t>
      </w:r>
      <w:proofErr w:type="spellStart"/>
      <w:r w:rsidRPr="008426D3">
        <w:rPr>
          <w:rFonts w:ascii="Arial" w:hAnsi="Arial" w:cs="Arial"/>
        </w:rPr>
        <w:t>остеогенон</w:t>
      </w:r>
      <w:proofErr w:type="spellEnd"/>
      <w:r w:rsidRPr="008426D3">
        <w:rPr>
          <w:rFonts w:ascii="Arial" w:hAnsi="Arial" w:cs="Arial"/>
        </w:rPr>
        <w:t xml:space="preserve">, препараты кальция и магния).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 Харьковском НИИ ортопедии и травматологии имени проф. М. И. </w:t>
      </w:r>
      <w:proofErr w:type="spellStart"/>
      <w:r w:rsidRPr="008426D3">
        <w:rPr>
          <w:rFonts w:ascii="Arial" w:hAnsi="Arial" w:cs="Arial"/>
        </w:rPr>
        <w:t>Ситенко</w:t>
      </w:r>
      <w:proofErr w:type="spellEnd"/>
      <w:r w:rsidRPr="008426D3">
        <w:rPr>
          <w:rFonts w:ascii="Arial" w:hAnsi="Arial" w:cs="Arial"/>
        </w:rPr>
        <w:t xml:space="preserve"> проведено исследование биологически активной пищевой добавки компании ВИТАМАКС </w:t>
      </w:r>
      <w:r w:rsidR="00452E68" w:rsidRPr="008426D3">
        <w:rPr>
          <w:rFonts w:ascii="Arial" w:hAnsi="Arial" w:cs="Arial"/>
        </w:rPr>
        <w:t>КАЛЬЦИЕВЫЙ КОМПЛЕКС</w:t>
      </w:r>
      <w:r w:rsidRPr="008426D3">
        <w:rPr>
          <w:rFonts w:ascii="Arial" w:hAnsi="Arial" w:cs="Arial"/>
        </w:rPr>
        <w:t xml:space="preserve">, его влияния на состояние костной ткани при установленном диагнозе </w:t>
      </w:r>
      <w:proofErr w:type="spellStart"/>
      <w:r w:rsidRPr="008426D3">
        <w:rPr>
          <w:rFonts w:ascii="Arial" w:hAnsi="Arial" w:cs="Arial"/>
        </w:rPr>
        <w:t>остеопения</w:t>
      </w:r>
      <w:proofErr w:type="spellEnd"/>
      <w:r w:rsidRPr="008426D3">
        <w:rPr>
          <w:rFonts w:ascii="Arial" w:hAnsi="Arial" w:cs="Arial"/>
        </w:rPr>
        <w:t xml:space="preserve"> или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. </w:t>
      </w:r>
    </w:p>
    <w:p w:rsidR="00402B0D" w:rsidRPr="008426D3" w:rsidRDefault="00452E68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КАЛЬЦИЕВЫЙ КОМПЛЕКС </w:t>
      </w:r>
      <w:r w:rsidR="00402B0D" w:rsidRPr="008426D3">
        <w:rPr>
          <w:rFonts w:ascii="Arial" w:hAnsi="Arial" w:cs="Arial"/>
        </w:rPr>
        <w:t xml:space="preserve">– продукт, который содержит 200 мг </w:t>
      </w:r>
      <w:proofErr w:type="spellStart"/>
      <w:r w:rsidR="00402B0D" w:rsidRPr="008426D3">
        <w:rPr>
          <w:rFonts w:ascii="Arial" w:hAnsi="Arial" w:cs="Arial"/>
        </w:rPr>
        <w:t>гидроксиапатита</w:t>
      </w:r>
      <w:proofErr w:type="spellEnd"/>
      <w:r w:rsidR="00402B0D" w:rsidRPr="008426D3">
        <w:rPr>
          <w:rFonts w:ascii="Arial" w:hAnsi="Arial" w:cs="Arial"/>
        </w:rPr>
        <w:t xml:space="preserve"> кальция (кальций и фосфор в соотношении 2:1); многие микроэлементы, необходимые для нормального роста костей; витамины</w:t>
      </w:r>
      <w:proofErr w:type="gramStart"/>
      <w:r w:rsidR="00402B0D" w:rsidRPr="008426D3">
        <w:rPr>
          <w:rFonts w:ascii="Arial" w:hAnsi="Arial" w:cs="Arial"/>
        </w:rPr>
        <w:t xml:space="preserve"> С</w:t>
      </w:r>
      <w:proofErr w:type="gramEnd"/>
      <w:r w:rsidR="00402B0D" w:rsidRPr="008426D3">
        <w:rPr>
          <w:rFonts w:ascii="Arial" w:hAnsi="Arial" w:cs="Arial"/>
        </w:rPr>
        <w:t xml:space="preserve"> и D3, способствующие всасыванию кальция в кишечнике и, что очень важно, комплекс </w:t>
      </w:r>
      <w:proofErr w:type="spellStart"/>
      <w:r w:rsidR="00402B0D" w:rsidRPr="008426D3">
        <w:rPr>
          <w:rFonts w:ascii="Arial" w:hAnsi="Arial" w:cs="Arial"/>
        </w:rPr>
        <w:t>хондроититсульфата</w:t>
      </w:r>
      <w:proofErr w:type="spellEnd"/>
      <w:r w:rsidR="00402B0D" w:rsidRPr="008426D3">
        <w:rPr>
          <w:rFonts w:ascii="Arial" w:hAnsi="Arial" w:cs="Arial"/>
        </w:rPr>
        <w:t xml:space="preserve"> (компонент органического матрикса кости). </w:t>
      </w:r>
    </w:p>
    <w:p w:rsidR="00402B0D" w:rsidRPr="008426D3" w:rsidRDefault="00452E68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КАЛЬЦИЕВЫЙ КОМПЛЕКС </w:t>
      </w:r>
      <w:r w:rsidR="00402B0D" w:rsidRPr="008426D3">
        <w:rPr>
          <w:rFonts w:ascii="Arial" w:hAnsi="Arial" w:cs="Arial"/>
        </w:rPr>
        <w:t xml:space="preserve">принимали 7 пациентов, у которых при обследовании было выявлено снижение минералов в кости.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У 4-х из обследованных пациентов было установлено состояние </w:t>
      </w:r>
      <w:proofErr w:type="spellStart"/>
      <w:r w:rsidRPr="008426D3">
        <w:rPr>
          <w:rFonts w:ascii="Arial" w:hAnsi="Arial" w:cs="Arial"/>
        </w:rPr>
        <w:t>остеопении</w:t>
      </w:r>
      <w:proofErr w:type="spellEnd"/>
      <w:r w:rsidRPr="008426D3">
        <w:rPr>
          <w:rFonts w:ascii="Arial" w:hAnsi="Arial" w:cs="Arial"/>
        </w:rPr>
        <w:t xml:space="preserve"> II степени, а у 3-х пациентов –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. </w:t>
      </w:r>
    </w:p>
    <w:p w:rsidR="00402B0D" w:rsidRPr="0066158F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  <w:r w:rsidRPr="008426D3">
        <w:rPr>
          <w:rFonts w:ascii="Arial" w:hAnsi="Arial" w:cs="Arial"/>
        </w:rPr>
        <w:t xml:space="preserve">Показатели содержания минералов (при анализе дистального отдела лучевой кости), минеральной плотности, а также величины стандартного отклонения от </w:t>
      </w:r>
      <w:proofErr w:type="spellStart"/>
      <w:r w:rsidRPr="008426D3">
        <w:rPr>
          <w:rFonts w:ascii="Arial" w:hAnsi="Arial" w:cs="Arial"/>
        </w:rPr>
        <w:t>среднетеоретической</w:t>
      </w:r>
      <w:proofErr w:type="spellEnd"/>
      <w:r w:rsidRPr="008426D3">
        <w:rPr>
          <w:rFonts w:ascii="Arial" w:hAnsi="Arial" w:cs="Arial"/>
        </w:rPr>
        <w:t xml:space="preserve"> нормы (</w:t>
      </w:r>
      <w:proofErr w:type="spellStart"/>
      <w:r w:rsidRPr="008426D3">
        <w:rPr>
          <w:rFonts w:ascii="Arial" w:hAnsi="Arial" w:cs="Arial"/>
        </w:rPr>
        <w:t>ВМС</w:t>
      </w:r>
      <w:proofErr w:type="gramStart"/>
      <w:r w:rsidRPr="008426D3">
        <w:rPr>
          <w:rFonts w:ascii="Arial" w:hAnsi="Arial" w:cs="Arial"/>
        </w:rPr>
        <w:t>z</w:t>
      </w:r>
      <w:proofErr w:type="spellEnd"/>
      <w:proofErr w:type="gramEnd"/>
      <w:r w:rsidRPr="008426D3">
        <w:rPr>
          <w:rFonts w:ascii="Arial" w:hAnsi="Arial" w:cs="Arial"/>
        </w:rPr>
        <w:t xml:space="preserve"> и </w:t>
      </w:r>
      <w:proofErr w:type="spellStart"/>
      <w:r w:rsidRPr="008426D3">
        <w:rPr>
          <w:rFonts w:ascii="Arial" w:hAnsi="Arial" w:cs="Arial"/>
        </w:rPr>
        <w:t>BMDz</w:t>
      </w:r>
      <w:proofErr w:type="spellEnd"/>
      <w:r w:rsidRPr="008426D3">
        <w:rPr>
          <w:rFonts w:ascii="Arial" w:hAnsi="Arial" w:cs="Arial"/>
        </w:rPr>
        <w:t xml:space="preserve">) по указанным группам больных представлены в таблицах 1 и 2. </w:t>
      </w:r>
      <w:r w:rsidR="0066158F">
        <w:rPr>
          <w:rFonts w:ascii="Arial" w:hAnsi="Arial" w:cs="Arial"/>
          <w:lang w:val="en-US"/>
        </w:rPr>
        <w:br/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>Таблица 1.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Показатели костно-денситометрического анализа пациентов с </w:t>
      </w:r>
      <w:proofErr w:type="spellStart"/>
      <w:r w:rsidRPr="008426D3">
        <w:rPr>
          <w:rFonts w:ascii="Arial" w:hAnsi="Arial" w:cs="Arial"/>
        </w:rPr>
        <w:t>остеопенией</w:t>
      </w:r>
      <w:proofErr w:type="spellEnd"/>
      <w:r w:rsidRPr="008426D3">
        <w:rPr>
          <w:rFonts w:ascii="Arial" w:hAnsi="Arial" w:cs="Arial"/>
        </w:rPr>
        <w:t xml:space="preserve"> II степени</w:t>
      </w:r>
      <w:r w:rsidRPr="008426D3">
        <w:rPr>
          <w:rFonts w:ascii="Arial" w:hAnsi="Arial" w:cs="Arial"/>
        </w:rPr>
        <w:tab/>
        <w:t xml:space="preserve"> </w:t>
      </w:r>
    </w:p>
    <w:tbl>
      <w:tblPr>
        <w:tblStyle w:val="a3"/>
        <w:tblW w:w="0" w:type="auto"/>
        <w:tblLook w:val="04A0"/>
      </w:tblPr>
      <w:tblGrid>
        <w:gridCol w:w="1413"/>
        <w:gridCol w:w="1073"/>
        <w:gridCol w:w="1060"/>
        <w:gridCol w:w="1069"/>
        <w:gridCol w:w="1048"/>
        <w:gridCol w:w="12"/>
        <w:gridCol w:w="1061"/>
        <w:gridCol w:w="1061"/>
        <w:gridCol w:w="992"/>
        <w:gridCol w:w="859"/>
      </w:tblGrid>
      <w:tr w:rsidR="00402B0D" w:rsidRPr="008426D3" w:rsidTr="001A2667">
        <w:tc>
          <w:tcPr>
            <w:tcW w:w="1336" w:type="dxa"/>
            <w:vMerge w:val="restart"/>
          </w:tcPr>
          <w:p w:rsidR="00402B0D" w:rsidRPr="008426D3" w:rsidRDefault="00402B0D" w:rsidP="00452E68">
            <w:pPr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Показатели</w:t>
            </w:r>
          </w:p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gridSpan w:val="5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До лечения</w:t>
            </w:r>
          </w:p>
        </w:tc>
        <w:tc>
          <w:tcPr>
            <w:tcW w:w="3973" w:type="dxa"/>
            <w:gridSpan w:val="4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После лечения</w:t>
            </w:r>
          </w:p>
        </w:tc>
      </w:tr>
      <w:tr w:rsidR="00402B0D" w:rsidRPr="008426D3" w:rsidTr="00402B0D">
        <w:tc>
          <w:tcPr>
            <w:tcW w:w="1336" w:type="dxa"/>
            <w:vMerge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073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Д24ж</w:t>
            </w:r>
          </w:p>
        </w:tc>
        <w:tc>
          <w:tcPr>
            <w:tcW w:w="1060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С60ж</w:t>
            </w:r>
          </w:p>
        </w:tc>
        <w:tc>
          <w:tcPr>
            <w:tcW w:w="106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П38м</w:t>
            </w:r>
          </w:p>
        </w:tc>
        <w:tc>
          <w:tcPr>
            <w:tcW w:w="1048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Г46м</w:t>
            </w:r>
          </w:p>
        </w:tc>
        <w:tc>
          <w:tcPr>
            <w:tcW w:w="1073" w:type="dxa"/>
            <w:gridSpan w:val="2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Д24ж</w:t>
            </w:r>
          </w:p>
        </w:tc>
        <w:tc>
          <w:tcPr>
            <w:tcW w:w="1061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С60ж</w:t>
            </w:r>
            <w:r w:rsidRPr="008426D3">
              <w:rPr>
                <w:rFonts w:ascii="Arial" w:hAnsi="Arial" w:cs="Arial"/>
              </w:rPr>
              <w:tab/>
            </w:r>
          </w:p>
        </w:tc>
        <w:tc>
          <w:tcPr>
            <w:tcW w:w="992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П38м</w:t>
            </w:r>
          </w:p>
        </w:tc>
        <w:tc>
          <w:tcPr>
            <w:tcW w:w="85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Г46м</w:t>
            </w:r>
          </w:p>
        </w:tc>
      </w:tr>
      <w:tr w:rsidR="00402B0D" w:rsidRPr="008426D3" w:rsidTr="00402B0D">
        <w:tc>
          <w:tcPr>
            <w:tcW w:w="1336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ВМС</w:t>
            </w:r>
          </w:p>
        </w:tc>
        <w:tc>
          <w:tcPr>
            <w:tcW w:w="1073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0,655</w:t>
            </w:r>
          </w:p>
        </w:tc>
        <w:tc>
          <w:tcPr>
            <w:tcW w:w="1060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0,566</w:t>
            </w:r>
          </w:p>
        </w:tc>
        <w:tc>
          <w:tcPr>
            <w:tcW w:w="106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1,133</w:t>
            </w:r>
          </w:p>
        </w:tc>
        <w:tc>
          <w:tcPr>
            <w:tcW w:w="1048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1,195</w:t>
            </w:r>
          </w:p>
        </w:tc>
        <w:tc>
          <w:tcPr>
            <w:tcW w:w="1073" w:type="dxa"/>
            <w:gridSpan w:val="2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0,704</w:t>
            </w:r>
          </w:p>
        </w:tc>
        <w:tc>
          <w:tcPr>
            <w:tcW w:w="1061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0,645</w:t>
            </w:r>
          </w:p>
        </w:tc>
        <w:tc>
          <w:tcPr>
            <w:tcW w:w="992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1,289</w:t>
            </w:r>
          </w:p>
        </w:tc>
        <w:tc>
          <w:tcPr>
            <w:tcW w:w="85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1,392</w:t>
            </w:r>
          </w:p>
        </w:tc>
      </w:tr>
      <w:tr w:rsidR="00402B0D" w:rsidRPr="008426D3" w:rsidTr="00402B0D">
        <w:tc>
          <w:tcPr>
            <w:tcW w:w="1336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BMD</w:t>
            </w:r>
          </w:p>
        </w:tc>
        <w:tc>
          <w:tcPr>
            <w:tcW w:w="1073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0,336</w:t>
            </w:r>
          </w:p>
        </w:tc>
        <w:tc>
          <w:tcPr>
            <w:tcW w:w="1060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0,257</w:t>
            </w:r>
          </w:p>
        </w:tc>
        <w:tc>
          <w:tcPr>
            <w:tcW w:w="106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0,515</w:t>
            </w:r>
          </w:p>
        </w:tc>
        <w:tc>
          <w:tcPr>
            <w:tcW w:w="1048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0,494</w:t>
            </w:r>
          </w:p>
        </w:tc>
        <w:tc>
          <w:tcPr>
            <w:tcW w:w="1073" w:type="dxa"/>
            <w:gridSpan w:val="2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0,385</w:t>
            </w:r>
          </w:p>
        </w:tc>
        <w:tc>
          <w:tcPr>
            <w:tcW w:w="1061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0,293</w:t>
            </w:r>
          </w:p>
        </w:tc>
        <w:tc>
          <w:tcPr>
            <w:tcW w:w="992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0,474</w:t>
            </w:r>
          </w:p>
        </w:tc>
        <w:tc>
          <w:tcPr>
            <w:tcW w:w="85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0,534</w:t>
            </w:r>
          </w:p>
        </w:tc>
      </w:tr>
      <w:tr w:rsidR="00402B0D" w:rsidRPr="008426D3" w:rsidTr="00402B0D">
        <w:tc>
          <w:tcPr>
            <w:tcW w:w="1336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8426D3">
              <w:rPr>
                <w:rFonts w:ascii="Arial" w:hAnsi="Arial" w:cs="Arial"/>
              </w:rPr>
              <w:t>ВМС</w:t>
            </w:r>
            <w:proofErr w:type="gramStart"/>
            <w:r w:rsidRPr="008426D3">
              <w:rPr>
                <w:rFonts w:ascii="Arial" w:hAnsi="Arial" w:cs="Arial"/>
              </w:rPr>
              <w:t>z</w:t>
            </w:r>
            <w:proofErr w:type="spellEnd"/>
            <w:proofErr w:type="gramEnd"/>
          </w:p>
        </w:tc>
        <w:tc>
          <w:tcPr>
            <w:tcW w:w="1073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-1,131</w:t>
            </w:r>
          </w:p>
        </w:tc>
        <w:tc>
          <w:tcPr>
            <w:tcW w:w="1060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-0,950</w:t>
            </w:r>
          </w:p>
        </w:tc>
        <w:tc>
          <w:tcPr>
            <w:tcW w:w="106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-0,467</w:t>
            </w:r>
          </w:p>
        </w:tc>
        <w:tc>
          <w:tcPr>
            <w:tcW w:w="1048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-0,263</w:t>
            </w:r>
          </w:p>
        </w:tc>
        <w:tc>
          <w:tcPr>
            <w:tcW w:w="1073" w:type="dxa"/>
            <w:gridSpan w:val="2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0,745</w:t>
            </w:r>
          </w:p>
        </w:tc>
        <w:tc>
          <w:tcPr>
            <w:tcW w:w="1061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0,113</w:t>
            </w:r>
          </w:p>
        </w:tc>
        <w:tc>
          <w:tcPr>
            <w:tcW w:w="992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1,355</w:t>
            </w:r>
          </w:p>
        </w:tc>
        <w:tc>
          <w:tcPr>
            <w:tcW w:w="85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1,554</w:t>
            </w:r>
          </w:p>
        </w:tc>
      </w:tr>
      <w:tr w:rsidR="00402B0D" w:rsidRPr="008426D3" w:rsidTr="00402B0D">
        <w:tc>
          <w:tcPr>
            <w:tcW w:w="1336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8426D3">
              <w:rPr>
                <w:rFonts w:ascii="Arial" w:hAnsi="Arial" w:cs="Arial"/>
              </w:rPr>
              <w:t>BMDz</w:t>
            </w:r>
            <w:proofErr w:type="spellEnd"/>
          </w:p>
        </w:tc>
        <w:tc>
          <w:tcPr>
            <w:tcW w:w="1073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-1,818</w:t>
            </w:r>
          </w:p>
        </w:tc>
        <w:tc>
          <w:tcPr>
            <w:tcW w:w="1060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-1,882</w:t>
            </w:r>
          </w:p>
        </w:tc>
        <w:tc>
          <w:tcPr>
            <w:tcW w:w="106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-1,520</w:t>
            </w:r>
          </w:p>
        </w:tc>
        <w:tc>
          <w:tcPr>
            <w:tcW w:w="1048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-1,905</w:t>
            </w:r>
          </w:p>
        </w:tc>
        <w:tc>
          <w:tcPr>
            <w:tcW w:w="1073" w:type="dxa"/>
            <w:gridSpan w:val="2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-1,166</w:t>
            </w:r>
          </w:p>
        </w:tc>
        <w:tc>
          <w:tcPr>
            <w:tcW w:w="1061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-1,305</w:t>
            </w:r>
          </w:p>
        </w:tc>
        <w:tc>
          <w:tcPr>
            <w:tcW w:w="992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-1,318</w:t>
            </w:r>
          </w:p>
        </w:tc>
        <w:tc>
          <w:tcPr>
            <w:tcW w:w="859" w:type="dxa"/>
          </w:tcPr>
          <w:p w:rsidR="00402B0D" w:rsidRPr="008426D3" w:rsidRDefault="00402B0D" w:rsidP="003C73B3">
            <w:pPr>
              <w:ind w:firstLine="5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-0,901</w:t>
            </w:r>
          </w:p>
        </w:tc>
      </w:tr>
    </w:tbl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>Таблица 2.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Показатели костно-денситометрического анализа пациентов с </w:t>
      </w:r>
      <w:proofErr w:type="spellStart"/>
      <w:r w:rsidRPr="008426D3">
        <w:rPr>
          <w:rFonts w:ascii="Arial" w:hAnsi="Arial" w:cs="Arial"/>
        </w:rPr>
        <w:t>остеопорозом</w:t>
      </w:r>
      <w:proofErr w:type="spellEnd"/>
      <w:r w:rsidRPr="008426D3">
        <w:rPr>
          <w:rFonts w:ascii="Arial" w:hAnsi="Arial" w:cs="Arial"/>
        </w:rPr>
        <w:tab/>
      </w:r>
      <w:r w:rsidRPr="008426D3">
        <w:rPr>
          <w:rFonts w:ascii="Arial" w:hAnsi="Arial" w:cs="Arial"/>
        </w:rPr>
        <w:tab/>
        <w:t xml:space="preserve"> 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02B0D" w:rsidRPr="008426D3" w:rsidTr="003E6691">
        <w:tc>
          <w:tcPr>
            <w:tcW w:w="1367" w:type="dxa"/>
            <w:vMerge w:val="restart"/>
          </w:tcPr>
          <w:p w:rsidR="00402B0D" w:rsidRPr="008426D3" w:rsidRDefault="00402B0D" w:rsidP="00452E68">
            <w:pPr>
              <w:ind w:hanging="142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Показатели</w:t>
            </w:r>
          </w:p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4101" w:type="dxa"/>
            <w:gridSpan w:val="3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До лечения</w:t>
            </w:r>
          </w:p>
        </w:tc>
        <w:tc>
          <w:tcPr>
            <w:tcW w:w="4103" w:type="dxa"/>
            <w:gridSpan w:val="3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После лечения</w:t>
            </w:r>
          </w:p>
        </w:tc>
      </w:tr>
      <w:tr w:rsidR="00402B0D" w:rsidRPr="008426D3" w:rsidTr="00402B0D">
        <w:tc>
          <w:tcPr>
            <w:tcW w:w="1367" w:type="dxa"/>
            <w:vMerge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М 55ж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С 50ж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Е69ж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М55ж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С50ж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Е69ж</w:t>
            </w:r>
          </w:p>
        </w:tc>
      </w:tr>
      <w:tr w:rsidR="00402B0D" w:rsidRPr="008426D3" w:rsidTr="00402B0D"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ВМС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0,553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0,625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0,192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0,713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0,708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0,506</w:t>
            </w:r>
          </w:p>
        </w:tc>
      </w:tr>
      <w:tr w:rsidR="00402B0D" w:rsidRPr="008426D3" w:rsidTr="00402B0D"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BMD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0,278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0,274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0,205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0,312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0,313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0,229</w:t>
            </w:r>
          </w:p>
        </w:tc>
      </w:tr>
      <w:tr w:rsidR="00402B0D" w:rsidRPr="008426D3" w:rsidTr="00402B0D"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8426D3">
              <w:rPr>
                <w:rFonts w:ascii="Arial" w:hAnsi="Arial" w:cs="Arial"/>
              </w:rPr>
              <w:t>BMCz</w:t>
            </w:r>
            <w:proofErr w:type="spellEnd"/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-1,489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-1,585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-2,948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-0,154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-0,461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-0,369</w:t>
            </w:r>
          </w:p>
        </w:tc>
      </w:tr>
      <w:tr w:rsidR="00402B0D" w:rsidRPr="008426D3" w:rsidTr="00402B0D"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8426D3">
              <w:rPr>
                <w:rFonts w:ascii="Arial" w:hAnsi="Arial" w:cs="Arial"/>
              </w:rPr>
              <w:t>BMDz</w:t>
            </w:r>
            <w:proofErr w:type="spellEnd"/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-2,740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-3,840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-3,067</w:t>
            </w:r>
          </w:p>
        </w:tc>
        <w:tc>
          <w:tcPr>
            <w:tcW w:w="1367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-1,930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-2,559</w:t>
            </w:r>
          </w:p>
        </w:tc>
        <w:tc>
          <w:tcPr>
            <w:tcW w:w="1368" w:type="dxa"/>
          </w:tcPr>
          <w:p w:rsidR="00402B0D" w:rsidRPr="008426D3" w:rsidRDefault="00402B0D" w:rsidP="008426D3">
            <w:pPr>
              <w:ind w:firstLine="284"/>
              <w:jc w:val="both"/>
              <w:rPr>
                <w:rFonts w:ascii="Arial" w:hAnsi="Arial" w:cs="Arial"/>
              </w:rPr>
            </w:pPr>
            <w:r w:rsidRPr="008426D3">
              <w:rPr>
                <w:rFonts w:ascii="Arial" w:hAnsi="Arial" w:cs="Arial"/>
              </w:rPr>
              <w:t>-2,583</w:t>
            </w:r>
          </w:p>
        </w:tc>
      </w:tr>
    </w:tbl>
    <w:p w:rsidR="00402B0D" w:rsidRPr="008426D3" w:rsidRDefault="008426D3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br/>
      </w:r>
      <w:r w:rsidR="00402B0D" w:rsidRPr="008426D3">
        <w:rPr>
          <w:rFonts w:ascii="Arial" w:hAnsi="Arial" w:cs="Arial"/>
        </w:rPr>
        <w:t xml:space="preserve">     В первой группе (</w:t>
      </w:r>
      <w:proofErr w:type="spellStart"/>
      <w:r w:rsidR="00402B0D" w:rsidRPr="008426D3">
        <w:rPr>
          <w:rFonts w:ascii="Arial" w:hAnsi="Arial" w:cs="Arial"/>
        </w:rPr>
        <w:t>остеопения</w:t>
      </w:r>
      <w:proofErr w:type="spellEnd"/>
      <w:r w:rsidR="00402B0D" w:rsidRPr="008426D3">
        <w:rPr>
          <w:rFonts w:ascii="Arial" w:hAnsi="Arial" w:cs="Arial"/>
        </w:rPr>
        <w:t xml:space="preserve"> 2-ой степени) возраст больных колебался от 24 до 60 лет, было 2-е мужчин и 2-е женщины (табл. 1). Выраженных сопутствующих заболеваний у обследуемых пациентов не было установлено. Пациентам данной группы </w:t>
      </w:r>
      <w:r w:rsidR="00452E68" w:rsidRPr="008426D3">
        <w:rPr>
          <w:rFonts w:ascii="Arial" w:hAnsi="Arial" w:cs="Arial"/>
        </w:rPr>
        <w:t xml:space="preserve">КАЛЬЦИЕВЫЙ КОМПЛЕКС </w:t>
      </w:r>
      <w:r w:rsidR="00402B0D" w:rsidRPr="008426D3">
        <w:rPr>
          <w:rFonts w:ascii="Arial" w:hAnsi="Arial" w:cs="Arial"/>
        </w:rPr>
        <w:t xml:space="preserve">был назначен по 800 мг в сутки (3 раза в день во время еды со стаканом воды).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lastRenderedPageBreak/>
        <w:t xml:space="preserve">Лечение продолжалось в течение 3-х месяцев.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 группе больных с </w:t>
      </w:r>
      <w:proofErr w:type="spellStart"/>
      <w:r w:rsidRPr="008426D3">
        <w:rPr>
          <w:rFonts w:ascii="Arial" w:hAnsi="Arial" w:cs="Arial"/>
        </w:rPr>
        <w:t>остеопорозом</w:t>
      </w:r>
      <w:proofErr w:type="spellEnd"/>
      <w:r w:rsidRPr="008426D3">
        <w:rPr>
          <w:rFonts w:ascii="Arial" w:hAnsi="Arial" w:cs="Arial"/>
        </w:rPr>
        <w:t xml:space="preserve"> наблюдались женщины в возрасте 50, 55 и 69 лет (табл. 2). Больные получали суммарную дозу продукта 1200 мг в день, принимая капсулы </w:t>
      </w:r>
      <w:r w:rsidR="004318CC">
        <w:rPr>
          <w:rFonts w:ascii="Arial" w:hAnsi="Arial" w:cs="Arial"/>
        </w:rPr>
        <w:t xml:space="preserve">продукта КАЛЬЦИЕВЫЙ КОМПЛЕКС </w:t>
      </w:r>
      <w:r w:rsidRPr="008426D3">
        <w:rPr>
          <w:rFonts w:ascii="Arial" w:hAnsi="Arial" w:cs="Arial"/>
        </w:rPr>
        <w:t xml:space="preserve">3 раза в день во время еды со стаканом воды.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Лечение продолжалось в течение 3-х месяцев.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Больным первой и второй групп рекомендовалась диета, богатая кальцием, фосфором и белком.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По истечении 3 месяцев был проведен анализ содержания минералов и минеральной плотности кости обеих групп больных.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В первой группе было зафиксировано повышение как показателя содержания минералов в костной ткани, так и показателя минеральной плотности кости. По Z-критерию трое больных этой группы (Д., С., П.) перешли в категорию с диагнозом заболевания – </w:t>
      </w:r>
      <w:proofErr w:type="spellStart"/>
      <w:r w:rsidRPr="008426D3">
        <w:rPr>
          <w:rFonts w:ascii="Arial" w:hAnsi="Arial" w:cs="Arial"/>
        </w:rPr>
        <w:t>остепения</w:t>
      </w:r>
      <w:proofErr w:type="spellEnd"/>
      <w:r w:rsidRPr="008426D3">
        <w:rPr>
          <w:rFonts w:ascii="Arial" w:hAnsi="Arial" w:cs="Arial"/>
        </w:rPr>
        <w:t xml:space="preserve"> 1-ой степени (</w:t>
      </w:r>
      <w:proofErr w:type="spellStart"/>
      <w:r w:rsidRPr="008426D3">
        <w:rPr>
          <w:rFonts w:ascii="Arial" w:hAnsi="Arial" w:cs="Arial"/>
        </w:rPr>
        <w:t>BMDz</w:t>
      </w:r>
      <w:proofErr w:type="spellEnd"/>
      <w:r w:rsidRPr="008426D3">
        <w:rPr>
          <w:rFonts w:ascii="Arial" w:hAnsi="Arial" w:cs="Arial"/>
        </w:rPr>
        <w:t xml:space="preserve">: -1, 166; -1,305; -1,318 соответственно). Показатели ВМС одного больного (мужчина Г., 46 лет) соответствовали нижней границе возрастной нормы, а BMD </w:t>
      </w:r>
      <w:proofErr w:type="spellStart"/>
      <w:r w:rsidRPr="008426D3">
        <w:rPr>
          <w:rFonts w:ascii="Arial" w:hAnsi="Arial" w:cs="Arial"/>
        </w:rPr>
        <w:t>z</w:t>
      </w:r>
      <w:proofErr w:type="spellEnd"/>
      <w:r w:rsidRPr="008426D3">
        <w:rPr>
          <w:rFonts w:ascii="Arial" w:hAnsi="Arial" w:cs="Arial"/>
        </w:rPr>
        <w:t xml:space="preserve"> – 0,824 (табл. 1). </w:t>
      </w:r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>У всех больных 2-ой группы отмечено значительное повышение показателя содержания минералов в костной ткани. Показатели плотности костной ткани также увеличились, однако не столь значительно. По величине стандартного отклонения</w:t>
      </w:r>
      <w:r w:rsidR="00FE7B26">
        <w:rPr>
          <w:rFonts w:ascii="Arial" w:hAnsi="Arial" w:cs="Arial"/>
        </w:rPr>
        <w:t>,</w:t>
      </w:r>
      <w:r w:rsidRPr="008426D3">
        <w:rPr>
          <w:rFonts w:ascii="Arial" w:hAnsi="Arial" w:cs="Arial"/>
        </w:rPr>
        <w:t xml:space="preserve"> у 2-х больных диагноз </w:t>
      </w:r>
      <w:proofErr w:type="spellStart"/>
      <w:r w:rsidRPr="008426D3">
        <w:rPr>
          <w:rFonts w:ascii="Arial" w:hAnsi="Arial" w:cs="Arial"/>
        </w:rPr>
        <w:t>остеопороз</w:t>
      </w:r>
      <w:proofErr w:type="spellEnd"/>
      <w:r w:rsidRPr="008426D3">
        <w:rPr>
          <w:rFonts w:ascii="Arial" w:hAnsi="Arial" w:cs="Arial"/>
        </w:rPr>
        <w:t xml:space="preserve"> оставался, </w:t>
      </w:r>
      <w:r w:rsidR="00FE7B26">
        <w:rPr>
          <w:rFonts w:ascii="Arial" w:hAnsi="Arial" w:cs="Arial"/>
        </w:rPr>
        <w:t xml:space="preserve">но было </w:t>
      </w:r>
      <w:r w:rsidRPr="008426D3">
        <w:rPr>
          <w:rFonts w:ascii="Arial" w:hAnsi="Arial" w:cs="Arial"/>
        </w:rPr>
        <w:t xml:space="preserve">отмечено значительное снижение показателя DMD </w:t>
      </w:r>
      <w:proofErr w:type="spellStart"/>
      <w:r w:rsidRPr="008426D3">
        <w:rPr>
          <w:rFonts w:ascii="Arial" w:hAnsi="Arial" w:cs="Arial"/>
        </w:rPr>
        <w:t>z</w:t>
      </w:r>
      <w:proofErr w:type="spellEnd"/>
      <w:r w:rsidR="00FE7B26">
        <w:rPr>
          <w:rFonts w:ascii="Arial" w:hAnsi="Arial" w:cs="Arial"/>
        </w:rPr>
        <w:t xml:space="preserve">. </w:t>
      </w:r>
      <w:r w:rsidRPr="008426D3">
        <w:rPr>
          <w:rFonts w:ascii="Arial" w:hAnsi="Arial" w:cs="Arial"/>
        </w:rPr>
        <w:t xml:space="preserve"> </w:t>
      </w:r>
      <w:proofErr w:type="gramStart"/>
      <w:r w:rsidRPr="008426D3">
        <w:rPr>
          <w:rFonts w:ascii="Arial" w:hAnsi="Arial" w:cs="Arial"/>
        </w:rPr>
        <w:t>(</w:t>
      </w:r>
      <w:r w:rsidR="00FE7B26">
        <w:rPr>
          <w:rFonts w:ascii="Arial" w:hAnsi="Arial" w:cs="Arial"/>
        </w:rPr>
        <w:t xml:space="preserve">Например, </w:t>
      </w:r>
      <w:r w:rsidRPr="008426D3">
        <w:rPr>
          <w:rFonts w:ascii="Arial" w:hAnsi="Arial" w:cs="Arial"/>
        </w:rPr>
        <w:t xml:space="preserve">больная С., 50 лет – 2,559 и больная Е., 69 лет – 2, 583, по сравнению с –3,840 и –3,067 соответственно до лечения (табл. 2). </w:t>
      </w:r>
      <w:proofErr w:type="gramEnd"/>
    </w:p>
    <w:p w:rsidR="00402B0D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У пациентки М., 55 лет повышение показателей содержания минералов и минеральной плотности было более высоким, и по величине стандартного отклонения у нее диагностировали </w:t>
      </w:r>
      <w:proofErr w:type="spellStart"/>
      <w:r w:rsidRPr="008426D3">
        <w:rPr>
          <w:rFonts w:ascii="Arial" w:hAnsi="Arial" w:cs="Arial"/>
        </w:rPr>
        <w:t>остеопению</w:t>
      </w:r>
      <w:proofErr w:type="spellEnd"/>
      <w:r w:rsidRPr="008426D3">
        <w:rPr>
          <w:rFonts w:ascii="Arial" w:hAnsi="Arial" w:cs="Arial"/>
        </w:rPr>
        <w:t xml:space="preserve"> III степени (BMD </w:t>
      </w:r>
      <w:proofErr w:type="spellStart"/>
      <w:r w:rsidRPr="008426D3">
        <w:rPr>
          <w:rFonts w:ascii="Arial" w:hAnsi="Arial" w:cs="Arial"/>
        </w:rPr>
        <w:t>z</w:t>
      </w:r>
      <w:proofErr w:type="spellEnd"/>
      <w:r w:rsidRPr="008426D3">
        <w:rPr>
          <w:rFonts w:ascii="Arial" w:hAnsi="Arial" w:cs="Arial"/>
        </w:rPr>
        <w:t xml:space="preserve"> – 1,930 при BMD </w:t>
      </w:r>
      <w:proofErr w:type="spellStart"/>
      <w:r w:rsidRPr="008426D3">
        <w:rPr>
          <w:rFonts w:ascii="Arial" w:hAnsi="Arial" w:cs="Arial"/>
        </w:rPr>
        <w:t>z</w:t>
      </w:r>
      <w:proofErr w:type="spellEnd"/>
      <w:r w:rsidRPr="008426D3">
        <w:rPr>
          <w:rFonts w:ascii="Arial" w:hAnsi="Arial" w:cs="Arial"/>
        </w:rPr>
        <w:t xml:space="preserve"> до лечения: 2,740). Отмечено значительное улучшение субъективного состояния – уменьшение болей в суставах и позвоночнике. </w:t>
      </w:r>
    </w:p>
    <w:p w:rsidR="001B7782" w:rsidRPr="008426D3" w:rsidRDefault="00402B0D" w:rsidP="008426D3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8426D3">
        <w:rPr>
          <w:rFonts w:ascii="Arial" w:hAnsi="Arial" w:cs="Arial"/>
        </w:rPr>
        <w:t xml:space="preserve">Таким образом, установлена стабилизация процесса деструкции костной ткани, зафиксирован прирост минералов в костной ткани, что свидетельствует об эффективности использования </w:t>
      </w:r>
      <w:r w:rsidR="004318CC">
        <w:rPr>
          <w:rFonts w:ascii="Arial" w:hAnsi="Arial" w:cs="Arial"/>
        </w:rPr>
        <w:t xml:space="preserve">биологической добавки </w:t>
      </w:r>
      <w:r w:rsidR="00452E68" w:rsidRPr="008426D3">
        <w:rPr>
          <w:rFonts w:ascii="Arial" w:hAnsi="Arial" w:cs="Arial"/>
        </w:rPr>
        <w:t>КАЛЬЦИЕВ</w:t>
      </w:r>
      <w:r w:rsidR="004318CC">
        <w:rPr>
          <w:rFonts w:ascii="Arial" w:hAnsi="Arial" w:cs="Arial"/>
        </w:rPr>
        <w:t>ЫЙ КОМПЛЕКС</w:t>
      </w:r>
      <w:r w:rsidR="00452E68" w:rsidRPr="008426D3">
        <w:rPr>
          <w:rFonts w:ascii="Arial" w:hAnsi="Arial" w:cs="Arial"/>
        </w:rPr>
        <w:t xml:space="preserve"> </w:t>
      </w:r>
      <w:r w:rsidRPr="008426D3">
        <w:rPr>
          <w:rFonts w:ascii="Arial" w:hAnsi="Arial" w:cs="Arial"/>
        </w:rPr>
        <w:t xml:space="preserve">компании ВИТАМАКС в лечении и профилактике </w:t>
      </w:r>
      <w:proofErr w:type="spellStart"/>
      <w:r w:rsidRPr="008426D3">
        <w:rPr>
          <w:rFonts w:ascii="Arial" w:hAnsi="Arial" w:cs="Arial"/>
        </w:rPr>
        <w:t>остеопенических</w:t>
      </w:r>
      <w:proofErr w:type="spellEnd"/>
      <w:r w:rsidRPr="008426D3">
        <w:rPr>
          <w:rFonts w:ascii="Arial" w:hAnsi="Arial" w:cs="Arial"/>
        </w:rPr>
        <w:t xml:space="preserve"> состояний и </w:t>
      </w:r>
      <w:proofErr w:type="spellStart"/>
      <w:r w:rsidRPr="008426D3">
        <w:rPr>
          <w:rFonts w:ascii="Arial" w:hAnsi="Arial" w:cs="Arial"/>
        </w:rPr>
        <w:t>остеопороза</w:t>
      </w:r>
      <w:proofErr w:type="spellEnd"/>
      <w:r w:rsidRPr="008426D3">
        <w:rPr>
          <w:rFonts w:ascii="Arial" w:hAnsi="Arial" w:cs="Arial"/>
        </w:rPr>
        <w:t>.</w:t>
      </w:r>
    </w:p>
    <w:sectPr w:rsidR="001B7782" w:rsidRPr="008426D3" w:rsidSect="008426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0D"/>
    <w:rsid w:val="001B7782"/>
    <w:rsid w:val="003C73B3"/>
    <w:rsid w:val="00402B0D"/>
    <w:rsid w:val="004318CC"/>
    <w:rsid w:val="00452E68"/>
    <w:rsid w:val="004564A3"/>
    <w:rsid w:val="005F7781"/>
    <w:rsid w:val="0066158F"/>
    <w:rsid w:val="008426D3"/>
    <w:rsid w:val="00A22D19"/>
    <w:rsid w:val="00C278AC"/>
    <w:rsid w:val="00C626D3"/>
    <w:rsid w:val="00FB0B65"/>
    <w:rsid w:val="00FE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1225</Words>
  <Characters>6986</Characters>
  <Application>Microsoft Office Word</Application>
  <DocSecurity>0</DocSecurity>
  <Lines>58</Lines>
  <Paragraphs>16</Paragraphs>
  <ScaleCrop>false</ScaleCrop>
  <Company>1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gofman_natalia</dc:creator>
  <cp:keywords/>
  <dc:description/>
  <cp:lastModifiedBy>gofman_natalia</cp:lastModifiedBy>
  <cp:revision>17</cp:revision>
  <dcterms:created xsi:type="dcterms:W3CDTF">2010-11-02T12:09:00Z</dcterms:created>
  <dcterms:modified xsi:type="dcterms:W3CDTF">2011-05-23T09:02:00Z</dcterms:modified>
</cp:coreProperties>
</file>