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F9" w:rsidRDefault="00DD3BF9" w:rsidP="00DD3BF9">
      <w:pPr>
        <w:jc w:val="center"/>
        <w:rPr>
          <w:rFonts w:ascii="Arial" w:hAnsi="Arial" w:cs="Arial"/>
          <w:b/>
          <w:sz w:val="24"/>
        </w:rPr>
      </w:pPr>
      <w:r w:rsidRPr="008F2881">
        <w:rPr>
          <w:rFonts w:ascii="Arial" w:hAnsi="Arial" w:cs="Arial"/>
          <w:b/>
          <w:sz w:val="24"/>
        </w:rPr>
        <w:t xml:space="preserve">Опыт применения в лечении </w:t>
      </w:r>
      <w:proofErr w:type="spellStart"/>
      <w:r w:rsidRPr="008F2881">
        <w:rPr>
          <w:rFonts w:ascii="Arial" w:hAnsi="Arial" w:cs="Arial"/>
          <w:b/>
          <w:sz w:val="24"/>
        </w:rPr>
        <w:t>дисбактериоза</w:t>
      </w:r>
      <w:proofErr w:type="spellEnd"/>
      <w:r w:rsidRPr="008F2881">
        <w:rPr>
          <w:rFonts w:ascii="Arial" w:hAnsi="Arial" w:cs="Arial"/>
          <w:b/>
          <w:sz w:val="24"/>
        </w:rPr>
        <w:t xml:space="preserve"> кишечника</w:t>
      </w:r>
    </w:p>
    <w:p w:rsidR="00BC67CF" w:rsidRDefault="00BC67CF" w:rsidP="00DD3BF9">
      <w:pPr>
        <w:jc w:val="center"/>
        <w:rPr>
          <w:rFonts w:ascii="Arial" w:hAnsi="Arial" w:cs="Arial"/>
          <w:b/>
          <w:sz w:val="24"/>
        </w:rPr>
      </w:pPr>
    </w:p>
    <w:p w:rsidR="00A66C4F" w:rsidRPr="008F2881" w:rsidRDefault="00F1578A" w:rsidP="00A66C4F">
      <w:pPr>
        <w:jc w:val="right"/>
        <w:rPr>
          <w:rFonts w:ascii="Arial" w:hAnsi="Arial" w:cs="Arial"/>
          <w:i/>
        </w:rPr>
      </w:pPr>
      <w:r w:rsidRPr="008F2881">
        <w:rPr>
          <w:rFonts w:ascii="Arial" w:hAnsi="Arial" w:cs="Arial"/>
          <w:i/>
        </w:rPr>
        <w:t>Г.Л.</w:t>
      </w:r>
      <w:r w:rsidRPr="00F1578A">
        <w:rPr>
          <w:rFonts w:ascii="Arial" w:hAnsi="Arial" w:cs="Arial"/>
          <w:i/>
        </w:rPr>
        <w:t xml:space="preserve"> </w:t>
      </w:r>
      <w:r w:rsidR="00A66C4F" w:rsidRPr="008F2881">
        <w:rPr>
          <w:rFonts w:ascii="Arial" w:hAnsi="Arial" w:cs="Arial"/>
          <w:i/>
        </w:rPr>
        <w:t xml:space="preserve">Никулина, к.м.н., </w:t>
      </w:r>
      <w:r w:rsidR="00A66C4F" w:rsidRPr="008F2881">
        <w:rPr>
          <w:rFonts w:ascii="Arial" w:hAnsi="Arial" w:cs="Arial"/>
          <w:i/>
        </w:rPr>
        <w:br/>
        <w:t xml:space="preserve">кафедра гигиены и </w:t>
      </w:r>
      <w:proofErr w:type="spellStart"/>
      <w:r w:rsidR="00A66C4F" w:rsidRPr="008F2881">
        <w:rPr>
          <w:rFonts w:ascii="Arial" w:hAnsi="Arial" w:cs="Arial"/>
          <w:i/>
        </w:rPr>
        <w:t>профпатологии</w:t>
      </w:r>
      <w:proofErr w:type="spellEnd"/>
      <w:r w:rsidR="00A66C4F" w:rsidRPr="008F2881">
        <w:rPr>
          <w:rFonts w:ascii="Arial" w:hAnsi="Arial" w:cs="Arial"/>
          <w:i/>
        </w:rPr>
        <w:t xml:space="preserve"> ХМАПО;</w:t>
      </w:r>
      <w:r w:rsidR="00A66C4F" w:rsidRPr="008F2881">
        <w:rPr>
          <w:rFonts w:ascii="Arial" w:hAnsi="Arial" w:cs="Arial"/>
          <w:i/>
        </w:rPr>
        <w:br/>
      </w:r>
      <w:r w:rsidRPr="008F2881">
        <w:rPr>
          <w:rFonts w:ascii="Arial" w:hAnsi="Arial" w:cs="Arial"/>
          <w:i/>
        </w:rPr>
        <w:t>О.Н.</w:t>
      </w:r>
      <w:r w:rsidRPr="00F1578A">
        <w:rPr>
          <w:rFonts w:ascii="Arial" w:hAnsi="Arial" w:cs="Arial"/>
          <w:i/>
        </w:rPr>
        <w:t xml:space="preserve"> </w:t>
      </w:r>
      <w:r w:rsidR="00A66C4F" w:rsidRPr="008F2881">
        <w:rPr>
          <w:rFonts w:ascii="Arial" w:hAnsi="Arial" w:cs="Arial"/>
          <w:i/>
        </w:rPr>
        <w:t>Клименко,</w:t>
      </w:r>
      <w:r w:rsidR="00A66C4F" w:rsidRPr="008F2881">
        <w:rPr>
          <w:rFonts w:ascii="Arial" w:hAnsi="Arial" w:cs="Arial"/>
          <w:i/>
        </w:rPr>
        <w:br/>
        <w:t xml:space="preserve"> врач-педиатр высшей категории, ГДКБ № 24</w:t>
      </w:r>
    </w:p>
    <w:p w:rsidR="00DD3BF9" w:rsidRPr="008F2881" w:rsidRDefault="00DD3BF9" w:rsidP="00DD3BF9">
      <w:pPr>
        <w:rPr>
          <w:rFonts w:ascii="Arial" w:hAnsi="Arial" w:cs="Arial"/>
        </w:rPr>
      </w:pP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>Опыт работы с системными продуктами здоровья корпорации ВИТАМАКС</w:t>
      </w:r>
      <w:r w:rsidR="005D642A">
        <w:rPr>
          <w:rFonts w:ascii="Arial" w:hAnsi="Arial" w:cs="Arial"/>
        </w:rPr>
        <w:t xml:space="preserve"> </w:t>
      </w:r>
      <w:r w:rsidRPr="008F2881">
        <w:rPr>
          <w:rFonts w:ascii="Arial" w:hAnsi="Arial" w:cs="Arial"/>
        </w:rPr>
        <w:t>век свидетельствует об удивительной эффективности и прекрасном терапевтическом эффекте от применения данной продукции.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Особенно хочется поделиться результатами по применению такого замечательного продукта, как </w:t>
      </w:r>
      <w:r w:rsidR="00DF5547">
        <w:rPr>
          <w:rFonts w:ascii="Arial" w:hAnsi="Arial" w:cs="Arial"/>
        </w:rPr>
        <w:t>ВИТАБАЛАНС 3000*</w:t>
      </w:r>
      <w:r w:rsidRPr="008F2881">
        <w:rPr>
          <w:rFonts w:ascii="Arial" w:hAnsi="Arial" w:cs="Arial"/>
        </w:rPr>
        <w:t xml:space="preserve">. Актуальность выбранной темы бесспорна. Известно, что у 90% населения выявляют </w:t>
      </w:r>
      <w:proofErr w:type="spellStart"/>
      <w:r w:rsidRPr="008F2881">
        <w:rPr>
          <w:rFonts w:ascii="Arial" w:hAnsi="Arial" w:cs="Arial"/>
        </w:rPr>
        <w:t>дисбиоз</w:t>
      </w:r>
      <w:proofErr w:type="spellEnd"/>
      <w:r w:rsidRPr="008F2881">
        <w:rPr>
          <w:rFonts w:ascii="Arial" w:hAnsi="Arial" w:cs="Arial"/>
        </w:rPr>
        <w:t xml:space="preserve">, в т.ч. и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кишечника. </w:t>
      </w:r>
      <w:proofErr w:type="spellStart"/>
      <w:r w:rsidRPr="008F2881">
        <w:rPr>
          <w:rFonts w:ascii="Arial" w:hAnsi="Arial" w:cs="Arial"/>
        </w:rPr>
        <w:t>Дисбиоз</w:t>
      </w:r>
      <w:proofErr w:type="spellEnd"/>
      <w:r w:rsidRPr="008F2881">
        <w:rPr>
          <w:rFonts w:ascii="Arial" w:hAnsi="Arial" w:cs="Arial"/>
        </w:rPr>
        <w:t xml:space="preserve"> – это нарушение гомеостаза вследствие определённых причин. Факторы, ведущие к нарушению нормальной микрофлоры кишечника многочисленны. </w:t>
      </w:r>
      <w:proofErr w:type="spellStart"/>
      <w:r w:rsidRPr="008F2881">
        <w:rPr>
          <w:rFonts w:ascii="Arial" w:hAnsi="Arial" w:cs="Arial"/>
        </w:rPr>
        <w:t>Дисбактериоз</w:t>
      </w:r>
      <w:proofErr w:type="spellEnd"/>
      <w:r w:rsidRPr="008F2881">
        <w:rPr>
          <w:rFonts w:ascii="Arial" w:hAnsi="Arial" w:cs="Arial"/>
        </w:rPr>
        <w:t xml:space="preserve"> формируется у большинства больных с острыми кишечными инфекциями вследствие влияния патогенных микроорганизмов на нормальную флору и экологию кишечника, не всегда оправданное применение антибактериальных препаратов (антибиотиков и сульфаниламидов), подавляющих не только патогенную, но и нормальную микрофлору кишечника. Развитию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способствуют стрессы, нерациональное питание, эндокринные нарушения, ионизирующая радиация и снижение иммунологической реактивности. Причинами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могут быть заболевания желудка, протекающие со снижением секреции поджелудочной железы, печени, почек, злокачественные новообразования, нарушение перистальтики, в частности стаз в толстом кишечнике. В настоящее время </w:t>
      </w:r>
      <w:proofErr w:type="spellStart"/>
      <w:r w:rsidRPr="008F2881">
        <w:rPr>
          <w:rFonts w:ascii="Arial" w:hAnsi="Arial" w:cs="Arial"/>
        </w:rPr>
        <w:t>дисбактериоз</w:t>
      </w:r>
      <w:proofErr w:type="spellEnd"/>
      <w:r w:rsidRPr="008F2881">
        <w:rPr>
          <w:rFonts w:ascii="Arial" w:hAnsi="Arial" w:cs="Arial"/>
        </w:rPr>
        <w:t xml:space="preserve"> кишечника рассматривают не как первичное заболевание, а как следствие или осложнение какой-либо другой патологии. </w:t>
      </w:r>
      <w:proofErr w:type="spellStart"/>
      <w:r w:rsidRPr="008F2881">
        <w:rPr>
          <w:rFonts w:ascii="Arial" w:hAnsi="Arial" w:cs="Arial"/>
        </w:rPr>
        <w:t>Дисбактериоз</w:t>
      </w:r>
      <w:proofErr w:type="spellEnd"/>
      <w:r w:rsidRPr="008F2881">
        <w:rPr>
          <w:rFonts w:ascii="Arial" w:hAnsi="Arial" w:cs="Arial"/>
        </w:rPr>
        <w:t xml:space="preserve"> – не болезнь, но может иметь клинические последствия. К ним относятся: нарушения пищеварения и всасывания питательных веществ и микроэлементов, метаболизма, секреции, проницаемости кишечного барьера, иммунитета, моторики кишечника, </w:t>
      </w:r>
      <w:proofErr w:type="spellStart"/>
      <w:r w:rsidRPr="008F2881">
        <w:rPr>
          <w:rFonts w:ascii="Arial" w:hAnsi="Arial" w:cs="Arial"/>
        </w:rPr>
        <w:t>репаративных</w:t>
      </w:r>
      <w:proofErr w:type="spellEnd"/>
      <w:r w:rsidRPr="008F2881">
        <w:rPr>
          <w:rFonts w:ascii="Arial" w:hAnsi="Arial" w:cs="Arial"/>
        </w:rPr>
        <w:t xml:space="preserve"> процессов. </w:t>
      </w:r>
      <w:proofErr w:type="spellStart"/>
      <w:r w:rsidRPr="008F2881">
        <w:rPr>
          <w:rFonts w:ascii="Arial" w:hAnsi="Arial" w:cs="Arial"/>
        </w:rPr>
        <w:t>Дисбиозы</w:t>
      </w:r>
      <w:proofErr w:type="spellEnd"/>
      <w:r w:rsidRPr="008F2881">
        <w:rPr>
          <w:rFonts w:ascii="Arial" w:hAnsi="Arial" w:cs="Arial"/>
        </w:rPr>
        <w:t xml:space="preserve"> чаще всего проявляются подавлением лакт</w:t>
      </w:r>
      <w:proofErr w:type="gramStart"/>
      <w:r w:rsidRPr="008F2881">
        <w:rPr>
          <w:rFonts w:ascii="Arial" w:hAnsi="Arial" w:cs="Arial"/>
        </w:rPr>
        <w:t>о-</w:t>
      </w:r>
      <w:proofErr w:type="gramEnd"/>
      <w:r w:rsidRPr="008F2881">
        <w:rPr>
          <w:rFonts w:ascii="Arial" w:hAnsi="Arial" w:cs="Arial"/>
        </w:rPr>
        <w:t xml:space="preserve"> и </w:t>
      </w:r>
      <w:proofErr w:type="spellStart"/>
      <w:r w:rsidRPr="008F2881">
        <w:rPr>
          <w:rFonts w:ascii="Arial" w:hAnsi="Arial" w:cs="Arial"/>
        </w:rPr>
        <w:t>бифидобактерий</w:t>
      </w:r>
      <w:proofErr w:type="spellEnd"/>
      <w:r w:rsidRPr="008F2881">
        <w:rPr>
          <w:rFonts w:ascii="Arial" w:hAnsi="Arial" w:cs="Arial"/>
        </w:rPr>
        <w:t xml:space="preserve"> и расширением спектра условно-патогенных штаммов, усилением адгезии их к слизистой оболочке кишечника. При </w:t>
      </w:r>
      <w:proofErr w:type="gramStart"/>
      <w:r w:rsidRPr="008F2881">
        <w:rPr>
          <w:rFonts w:ascii="Arial" w:hAnsi="Arial" w:cs="Arial"/>
        </w:rPr>
        <w:t>длительном</w:t>
      </w:r>
      <w:proofErr w:type="gramEnd"/>
      <w:r w:rsidRPr="008F2881">
        <w:rPr>
          <w:rFonts w:ascii="Arial" w:hAnsi="Arial" w:cs="Arial"/>
        </w:rPr>
        <w:t xml:space="preserve"> </w:t>
      </w:r>
      <w:proofErr w:type="spellStart"/>
      <w:r w:rsidRPr="008F2881">
        <w:rPr>
          <w:rFonts w:ascii="Arial" w:hAnsi="Arial" w:cs="Arial"/>
        </w:rPr>
        <w:t>дисбиозе</w:t>
      </w:r>
      <w:proofErr w:type="spellEnd"/>
      <w:r w:rsidRPr="008F2881">
        <w:rPr>
          <w:rFonts w:ascii="Arial" w:hAnsi="Arial" w:cs="Arial"/>
        </w:rPr>
        <w:t xml:space="preserve"> происходят воспалительные изменения слизистой оболочки и повреждение </w:t>
      </w:r>
      <w:proofErr w:type="spellStart"/>
      <w:r w:rsidRPr="008F2881">
        <w:rPr>
          <w:rFonts w:ascii="Arial" w:hAnsi="Arial" w:cs="Arial"/>
        </w:rPr>
        <w:t>липопротеинов</w:t>
      </w:r>
      <w:proofErr w:type="spellEnd"/>
      <w:r w:rsidRPr="008F2881">
        <w:rPr>
          <w:rFonts w:ascii="Arial" w:hAnsi="Arial" w:cs="Arial"/>
        </w:rPr>
        <w:t xml:space="preserve"> межклеточных мембран, образуя тканевые антигены. Повышенная проницаемость кишечного барьера для макромолекул белковой природы  способствует развитию аллергических реакций, непереносимости определённых пищевых продуктов.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Основными симптомами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кишечника являются неустойчивый стул (понос или запор, чередование поноса с запором), вздутие живота, урчание. Отмечают анемию, гиповитаминозы, </w:t>
      </w:r>
      <w:proofErr w:type="spellStart"/>
      <w:r w:rsidRPr="008F2881">
        <w:rPr>
          <w:rFonts w:ascii="Arial" w:hAnsi="Arial" w:cs="Arial"/>
        </w:rPr>
        <w:t>остеопороз</w:t>
      </w:r>
      <w:proofErr w:type="spellEnd"/>
      <w:r w:rsidRPr="008F2881">
        <w:rPr>
          <w:rFonts w:ascii="Arial" w:hAnsi="Arial" w:cs="Arial"/>
        </w:rPr>
        <w:t xml:space="preserve">, нарушение свёртывания крови, </w:t>
      </w:r>
      <w:proofErr w:type="spellStart"/>
      <w:r w:rsidRPr="008F2881">
        <w:rPr>
          <w:rFonts w:ascii="Arial" w:hAnsi="Arial" w:cs="Arial"/>
        </w:rPr>
        <w:t>гипопротиенемию</w:t>
      </w:r>
      <w:proofErr w:type="spellEnd"/>
      <w:r w:rsidRPr="008F2881">
        <w:rPr>
          <w:rFonts w:ascii="Arial" w:hAnsi="Arial" w:cs="Arial"/>
        </w:rPr>
        <w:t xml:space="preserve">. Характерен </w:t>
      </w:r>
      <w:proofErr w:type="spellStart"/>
      <w:r w:rsidRPr="008F2881">
        <w:rPr>
          <w:rFonts w:ascii="Arial" w:hAnsi="Arial" w:cs="Arial"/>
        </w:rPr>
        <w:t>астеноневротический</w:t>
      </w:r>
      <w:proofErr w:type="spellEnd"/>
      <w:r w:rsidRPr="008F2881">
        <w:rPr>
          <w:rFonts w:ascii="Arial" w:hAnsi="Arial" w:cs="Arial"/>
        </w:rPr>
        <w:t xml:space="preserve"> синдром, проявляющийся слабостью, повышенной утомляемостью, снижением работоспособности, нарушением сна, головной болью. Существуют </w:t>
      </w:r>
      <w:proofErr w:type="spellStart"/>
      <w:r w:rsidRPr="008F2881">
        <w:rPr>
          <w:rFonts w:ascii="Arial" w:hAnsi="Arial" w:cs="Arial"/>
        </w:rPr>
        <w:t>мономикробные</w:t>
      </w:r>
      <w:proofErr w:type="spellEnd"/>
      <w:r w:rsidRPr="008F2881">
        <w:rPr>
          <w:rFonts w:ascii="Arial" w:hAnsi="Arial" w:cs="Arial"/>
        </w:rPr>
        <w:t xml:space="preserve"> формы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(</w:t>
      </w:r>
      <w:proofErr w:type="gramStart"/>
      <w:r w:rsidRPr="008F2881">
        <w:rPr>
          <w:rFonts w:ascii="Arial" w:hAnsi="Arial" w:cs="Arial"/>
        </w:rPr>
        <w:t>стафилококковый</w:t>
      </w:r>
      <w:proofErr w:type="gramEnd"/>
      <w:r w:rsidRPr="008F2881">
        <w:rPr>
          <w:rFonts w:ascii="Arial" w:hAnsi="Arial" w:cs="Arial"/>
        </w:rPr>
        <w:t xml:space="preserve">, синегнойный, протейный). Ассоциативные формы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отличаются от </w:t>
      </w:r>
      <w:proofErr w:type="spellStart"/>
      <w:r w:rsidRPr="008F2881">
        <w:rPr>
          <w:rFonts w:ascii="Arial" w:hAnsi="Arial" w:cs="Arial"/>
        </w:rPr>
        <w:t>мономикробных</w:t>
      </w:r>
      <w:proofErr w:type="spellEnd"/>
      <w:r w:rsidRPr="008F2881">
        <w:rPr>
          <w:rFonts w:ascii="Arial" w:hAnsi="Arial" w:cs="Arial"/>
        </w:rPr>
        <w:t xml:space="preserve"> более выраженной агрессивностью, грубыми структурными изменениями слизистых оболочек пищеварительного тракта.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В качестве материала для обсуждения были выбраны только клинически значимые и лабораторно подтверждённые случаи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кишечника. Для сравнения были выбраны 2 группы детей: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1 – дети, которые в качестве лечения получали </w:t>
      </w:r>
      <w:proofErr w:type="spellStart"/>
      <w:r w:rsidRPr="008F2881">
        <w:rPr>
          <w:rFonts w:ascii="Arial" w:hAnsi="Arial" w:cs="Arial"/>
        </w:rPr>
        <w:t>пробиотики</w:t>
      </w:r>
      <w:proofErr w:type="spellEnd"/>
      <w:r w:rsidRPr="008F2881">
        <w:rPr>
          <w:rFonts w:ascii="Arial" w:hAnsi="Arial" w:cs="Arial"/>
        </w:rPr>
        <w:t xml:space="preserve"> из аптечной сети;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2 – дети, получавшие </w:t>
      </w:r>
      <w:r w:rsidR="00DF5547">
        <w:rPr>
          <w:rFonts w:ascii="Arial" w:hAnsi="Arial" w:cs="Arial"/>
        </w:rPr>
        <w:t>ВИТАБАЛАНС 3000*</w:t>
      </w:r>
      <w:r w:rsidRPr="008F2881">
        <w:rPr>
          <w:rFonts w:ascii="Arial" w:hAnsi="Arial" w:cs="Arial"/>
        </w:rPr>
        <w:t xml:space="preserve"> как лечебное средство.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>В первую и вторую группу включались дети от 24 дней до 14 лет.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Анализ эффективности применения </w:t>
      </w:r>
      <w:r w:rsidR="00DF5547">
        <w:rPr>
          <w:rFonts w:ascii="Arial" w:hAnsi="Arial" w:cs="Arial"/>
        </w:rPr>
        <w:t>ВИТАБАЛАНС 3000*</w:t>
      </w:r>
      <w:r w:rsidRPr="008F2881">
        <w:rPr>
          <w:rFonts w:ascii="Arial" w:hAnsi="Arial" w:cs="Arial"/>
        </w:rPr>
        <w:t xml:space="preserve"> проводился по следующим  показателям: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>1. Исчезновение клинических проявлений.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lastRenderedPageBreak/>
        <w:t>2. Нормализация лабораторных показателей.</w:t>
      </w:r>
    </w:p>
    <w:p w:rsidR="00DD3BF9" w:rsidRPr="008F2881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3. Необходимость и кратность повторных  курсов. </w:t>
      </w:r>
    </w:p>
    <w:p w:rsidR="00DD3BF9" w:rsidRDefault="00DD3BF9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>Результаты исследования были обработаны методом параметрической статистики. Данные анализа приведены в таблице.</w:t>
      </w:r>
    </w:p>
    <w:p w:rsidR="00D50465" w:rsidRPr="008F2881" w:rsidRDefault="00D50465" w:rsidP="00D50465">
      <w:pPr>
        <w:spacing w:after="0" w:line="240" w:lineRule="auto"/>
        <w:ind w:firstLine="28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87"/>
        <w:gridCol w:w="1829"/>
        <w:gridCol w:w="1595"/>
        <w:gridCol w:w="1595"/>
        <w:gridCol w:w="1595"/>
        <w:gridCol w:w="1797"/>
      </w:tblGrid>
      <w:tr w:rsidR="00DD3BF9" w:rsidRPr="008F2881" w:rsidTr="00D14925">
        <w:trPr>
          <w:trHeight w:val="776"/>
        </w:trPr>
        <w:tc>
          <w:tcPr>
            <w:tcW w:w="1487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№</w:t>
            </w:r>
          </w:p>
        </w:tc>
        <w:tc>
          <w:tcPr>
            <w:tcW w:w="1829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Показатели</w:t>
            </w: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proofErr w:type="spellStart"/>
            <w:r w:rsidRPr="008F2881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1595" w:type="dxa"/>
          </w:tcPr>
          <w:p w:rsidR="00DD3BF9" w:rsidRDefault="00DD3BF9" w:rsidP="00962DFC">
            <w:pPr>
              <w:rPr>
                <w:rFonts w:ascii="Arial" w:hAnsi="Arial" w:cs="Arial"/>
                <w:lang w:val="en-US"/>
              </w:rPr>
            </w:pPr>
            <w:proofErr w:type="spellStart"/>
            <w:r w:rsidRPr="008F2881">
              <w:rPr>
                <w:rFonts w:ascii="Arial" w:hAnsi="Arial" w:cs="Arial"/>
              </w:rPr>
              <w:t>Пробиотики</w:t>
            </w:r>
            <w:proofErr w:type="spellEnd"/>
            <w:r w:rsidRPr="008F2881">
              <w:rPr>
                <w:rFonts w:ascii="Arial" w:hAnsi="Arial" w:cs="Arial"/>
              </w:rPr>
              <w:t xml:space="preserve"> аптечной сети</w:t>
            </w:r>
            <w:r w:rsidRPr="008F2881">
              <w:rPr>
                <w:rFonts w:ascii="Arial" w:hAnsi="Arial" w:cs="Arial"/>
              </w:rPr>
              <w:tab/>
            </w:r>
          </w:p>
          <w:p w:rsidR="00962DFC" w:rsidRPr="00962DFC" w:rsidRDefault="00962DFC" w:rsidP="00962D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proofErr w:type="spellStart"/>
            <w:r w:rsidRPr="008F2881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1797" w:type="dxa"/>
          </w:tcPr>
          <w:p w:rsidR="00DD3BF9" w:rsidRPr="008F2881" w:rsidRDefault="00DF5547" w:rsidP="00DD3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ВИТАБАЛАНС 3000*</w:t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</w:tr>
      <w:tr w:rsidR="00DD3BF9" w:rsidRPr="008F2881" w:rsidTr="00D14925">
        <w:tc>
          <w:tcPr>
            <w:tcW w:w="1487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1.</w:t>
            </w:r>
          </w:p>
        </w:tc>
        <w:tc>
          <w:tcPr>
            <w:tcW w:w="1829" w:type="dxa"/>
          </w:tcPr>
          <w:p w:rsidR="00DD3BF9" w:rsidRDefault="00DD3BF9" w:rsidP="00962DFC">
            <w:pPr>
              <w:rPr>
                <w:rFonts w:ascii="Arial" w:hAnsi="Arial" w:cs="Arial"/>
                <w:lang w:val="en-US"/>
              </w:rPr>
            </w:pPr>
            <w:r w:rsidRPr="008F2881">
              <w:rPr>
                <w:rFonts w:ascii="Arial" w:hAnsi="Arial" w:cs="Arial"/>
              </w:rPr>
              <w:t>Нормализация клинических проявлений.</w:t>
            </w:r>
            <w:r w:rsidRPr="008F2881">
              <w:rPr>
                <w:rFonts w:ascii="Arial" w:hAnsi="Arial" w:cs="Arial"/>
              </w:rPr>
              <w:tab/>
            </w:r>
          </w:p>
          <w:p w:rsidR="00962DFC" w:rsidRPr="00962DFC" w:rsidRDefault="00962DFC" w:rsidP="00962D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16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DD3BF9" w:rsidRPr="008F2881" w:rsidRDefault="00DD3BF9" w:rsidP="00962DFC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Не ранее чем на 14 сутки</w:t>
            </w:r>
            <w:r w:rsidRPr="008F2881">
              <w:rPr>
                <w:rFonts w:ascii="Arial" w:hAnsi="Arial" w:cs="Arial"/>
              </w:rPr>
              <w:tab/>
            </w: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33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на 3-7 сутки</w:t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</w:tr>
      <w:tr w:rsidR="00DD3BF9" w:rsidRPr="008F2881" w:rsidTr="00D14925">
        <w:tc>
          <w:tcPr>
            <w:tcW w:w="1487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2.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Нормализация лабораторных показателей.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16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Через 8 недель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33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Через 3-4 недели</w:t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</w:tr>
      <w:tr w:rsidR="00DD3BF9" w:rsidRPr="008F2881" w:rsidTr="00D14925">
        <w:tc>
          <w:tcPr>
            <w:tcW w:w="1487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3.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Необходимость  повторных  курсов.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16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В 16 случаях из 16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DD3BF9" w:rsidRPr="008F2881" w:rsidRDefault="00DD3BF9" w:rsidP="00DD3BF9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>33</w:t>
            </w:r>
            <w:r w:rsidRPr="008F2881">
              <w:rPr>
                <w:rFonts w:ascii="Arial" w:hAnsi="Arial" w:cs="Arial"/>
              </w:rPr>
              <w:tab/>
            </w:r>
          </w:p>
          <w:p w:rsidR="00DD3BF9" w:rsidRPr="008F2881" w:rsidRDefault="00DD3BF9" w:rsidP="00DD3BF9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:rsidR="00DD3BF9" w:rsidRPr="008F2881" w:rsidRDefault="00DD3BF9" w:rsidP="00962DFC">
            <w:pPr>
              <w:rPr>
                <w:rFonts w:ascii="Arial" w:hAnsi="Arial" w:cs="Arial"/>
              </w:rPr>
            </w:pPr>
            <w:r w:rsidRPr="008F2881">
              <w:rPr>
                <w:rFonts w:ascii="Arial" w:hAnsi="Arial" w:cs="Arial"/>
              </w:rPr>
              <w:t xml:space="preserve">В 1 случае при тяжёлой форме </w:t>
            </w:r>
            <w:proofErr w:type="spellStart"/>
            <w:r w:rsidRPr="008F2881">
              <w:rPr>
                <w:rFonts w:ascii="Arial" w:hAnsi="Arial" w:cs="Arial"/>
              </w:rPr>
              <w:t>дисбактериоза</w:t>
            </w:r>
            <w:proofErr w:type="spellEnd"/>
            <w:r w:rsidRPr="008F2881">
              <w:rPr>
                <w:rFonts w:ascii="Arial" w:hAnsi="Arial" w:cs="Arial"/>
              </w:rPr>
              <w:t>.</w:t>
            </w:r>
          </w:p>
        </w:tc>
      </w:tr>
    </w:tbl>
    <w:p w:rsidR="00DD3BF9" w:rsidRPr="008F2881" w:rsidRDefault="00DD3BF9" w:rsidP="00DD3BF9">
      <w:pPr>
        <w:rPr>
          <w:rFonts w:ascii="Arial" w:hAnsi="Arial" w:cs="Arial"/>
        </w:rPr>
      </w:pPr>
      <w:r w:rsidRPr="008F2881">
        <w:rPr>
          <w:rFonts w:ascii="Arial" w:hAnsi="Arial" w:cs="Arial"/>
        </w:rPr>
        <w:tab/>
      </w:r>
    </w:p>
    <w:p w:rsidR="00DD3BF9" w:rsidRPr="008F2881" w:rsidRDefault="00DD3BF9" w:rsidP="007B5192">
      <w:pPr>
        <w:ind w:firstLine="284"/>
        <w:jc w:val="both"/>
        <w:rPr>
          <w:rFonts w:ascii="Arial" w:hAnsi="Arial" w:cs="Arial"/>
        </w:rPr>
      </w:pPr>
      <w:proofErr w:type="spellStart"/>
      <w:r w:rsidRPr="008F2881">
        <w:rPr>
          <w:rFonts w:ascii="Arial" w:hAnsi="Arial" w:cs="Arial"/>
        </w:rPr>
        <w:t>n</w:t>
      </w:r>
      <w:proofErr w:type="spellEnd"/>
      <w:r w:rsidRPr="008F2881">
        <w:rPr>
          <w:rFonts w:ascii="Arial" w:hAnsi="Arial" w:cs="Arial"/>
        </w:rPr>
        <w:t xml:space="preserve"> – число наблюдений в группе. Различие между группами достоверно.</w:t>
      </w:r>
    </w:p>
    <w:p w:rsidR="00DD3BF9" w:rsidRPr="008F2881" w:rsidRDefault="00DD3BF9" w:rsidP="007B519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Из вышеприведённого анализа видно, что по всем исследованным показателям </w:t>
      </w:r>
      <w:r w:rsidR="00DF5547">
        <w:rPr>
          <w:rFonts w:ascii="Arial" w:hAnsi="Arial" w:cs="Arial"/>
        </w:rPr>
        <w:t>ВИТАБАЛАНС 3000*</w:t>
      </w:r>
      <w:r w:rsidRPr="008F2881">
        <w:rPr>
          <w:rFonts w:ascii="Arial" w:hAnsi="Arial" w:cs="Arial"/>
        </w:rPr>
        <w:t xml:space="preserve"> оказался достоверно эффективнее, чем аптечные формы </w:t>
      </w:r>
      <w:proofErr w:type="spellStart"/>
      <w:r w:rsidRPr="008F2881">
        <w:rPr>
          <w:rFonts w:ascii="Arial" w:hAnsi="Arial" w:cs="Arial"/>
        </w:rPr>
        <w:t>пробиотиков</w:t>
      </w:r>
      <w:proofErr w:type="spellEnd"/>
      <w:r w:rsidRPr="008F2881">
        <w:rPr>
          <w:rFonts w:ascii="Arial" w:hAnsi="Arial" w:cs="Arial"/>
        </w:rPr>
        <w:t>.</w:t>
      </w:r>
    </w:p>
    <w:p w:rsidR="00DD3BF9" w:rsidRPr="008F2881" w:rsidRDefault="00B851D3" w:rsidP="007B5192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при</w:t>
      </w:r>
      <w:r w:rsidRPr="00B851D3">
        <w:rPr>
          <w:rFonts w:ascii="Arial" w:hAnsi="Arial" w:cs="Arial"/>
        </w:rPr>
        <w:t xml:space="preserve"> </w:t>
      </w:r>
      <w:r w:rsidR="00DD3BF9" w:rsidRPr="008F2881">
        <w:rPr>
          <w:rFonts w:ascii="Arial" w:hAnsi="Arial" w:cs="Arial"/>
        </w:rPr>
        <w:t xml:space="preserve">степени </w:t>
      </w:r>
      <w:proofErr w:type="spellStart"/>
      <w:r w:rsidR="00DD3BF9" w:rsidRPr="008F2881">
        <w:rPr>
          <w:rFonts w:ascii="Arial" w:hAnsi="Arial" w:cs="Arial"/>
        </w:rPr>
        <w:t>дисбактериоза</w:t>
      </w:r>
      <w:proofErr w:type="spellEnd"/>
      <w:r w:rsidR="00DD3BF9" w:rsidRPr="008F2881">
        <w:rPr>
          <w:rFonts w:ascii="Arial" w:hAnsi="Arial" w:cs="Arial"/>
        </w:rPr>
        <w:t xml:space="preserve"> кишечника назначал</w:t>
      </w:r>
      <w:r w:rsidR="00CD7A75">
        <w:rPr>
          <w:rFonts w:ascii="Arial" w:hAnsi="Arial" w:cs="Arial"/>
        </w:rPr>
        <w:t>ись коктейли</w:t>
      </w:r>
      <w:r w:rsidR="00DD3BF9" w:rsidRPr="008F2881">
        <w:rPr>
          <w:rFonts w:ascii="Arial" w:hAnsi="Arial" w:cs="Arial"/>
        </w:rPr>
        <w:t xml:space="preserve"> </w:t>
      </w:r>
      <w:r w:rsidR="005D642A" w:rsidRPr="008F2881">
        <w:rPr>
          <w:rFonts w:ascii="Arial" w:hAnsi="Arial" w:cs="Arial"/>
        </w:rPr>
        <w:t>ЗЕЛЁНОЕ ВОЛШЕБСТВО</w:t>
      </w:r>
      <w:r w:rsidR="005D642A">
        <w:rPr>
          <w:rFonts w:ascii="Arial" w:hAnsi="Arial" w:cs="Arial"/>
        </w:rPr>
        <w:t xml:space="preserve">, </w:t>
      </w:r>
      <w:r w:rsidR="005D642A" w:rsidRPr="008F2881">
        <w:rPr>
          <w:rFonts w:ascii="Arial" w:hAnsi="Arial" w:cs="Arial"/>
        </w:rPr>
        <w:t>ЭХИНАЦЕЯ</w:t>
      </w:r>
      <w:r w:rsidR="005D642A">
        <w:rPr>
          <w:rFonts w:ascii="Arial" w:hAnsi="Arial" w:cs="Arial"/>
        </w:rPr>
        <w:t xml:space="preserve"> (ФИТОМИКРОСФЕРЫ), </w:t>
      </w:r>
      <w:r w:rsidR="005D642A" w:rsidRPr="008F2881">
        <w:rPr>
          <w:rFonts w:ascii="Arial" w:hAnsi="Arial" w:cs="Arial"/>
        </w:rPr>
        <w:t>МУКА ИЕРУСАЛИМСКОГО АРТИШОКА</w:t>
      </w:r>
      <w:r w:rsidR="008E4BBE">
        <w:rPr>
          <w:rFonts w:ascii="Arial" w:hAnsi="Arial" w:cs="Arial"/>
        </w:rPr>
        <w:t>*</w:t>
      </w:r>
      <w:r w:rsidR="00DD3BF9" w:rsidRPr="008F2881">
        <w:rPr>
          <w:rFonts w:ascii="Arial" w:hAnsi="Arial" w:cs="Arial"/>
        </w:rPr>
        <w:t>. Эти случаи не учитывались в таблице. Сочетание этих продуктов значительно повышает эффективность и качество лечения.</w:t>
      </w:r>
    </w:p>
    <w:p w:rsidR="00DD3BF9" w:rsidRPr="008F2881" w:rsidRDefault="00DD3BF9" w:rsidP="007B519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Имели место случаи, когда </w:t>
      </w:r>
      <w:r w:rsidR="00DF5547">
        <w:rPr>
          <w:rFonts w:ascii="Arial" w:hAnsi="Arial" w:cs="Arial"/>
        </w:rPr>
        <w:t>ВИТАБАЛАНС 3000*</w:t>
      </w:r>
      <w:r w:rsidRPr="008F2881">
        <w:rPr>
          <w:rFonts w:ascii="Arial" w:hAnsi="Arial" w:cs="Arial"/>
        </w:rPr>
        <w:t xml:space="preserve"> назначался как средство профилактики при </w:t>
      </w:r>
      <w:proofErr w:type="spellStart"/>
      <w:r w:rsidRPr="008F2881">
        <w:rPr>
          <w:rFonts w:ascii="Arial" w:hAnsi="Arial" w:cs="Arial"/>
        </w:rPr>
        <w:t>антибиотикотерапии</w:t>
      </w:r>
      <w:proofErr w:type="spellEnd"/>
      <w:r w:rsidRPr="008F2881">
        <w:rPr>
          <w:rFonts w:ascii="Arial" w:hAnsi="Arial" w:cs="Arial"/>
        </w:rPr>
        <w:t xml:space="preserve">. По нашим наблюдениям в одном из случаев </w:t>
      </w:r>
      <w:proofErr w:type="spellStart"/>
      <w:r w:rsidRPr="008F2881">
        <w:rPr>
          <w:rFonts w:ascii="Arial" w:hAnsi="Arial" w:cs="Arial"/>
        </w:rPr>
        <w:t>антибиотикотерапии</w:t>
      </w:r>
      <w:proofErr w:type="spellEnd"/>
      <w:r w:rsidRPr="008F2881">
        <w:rPr>
          <w:rFonts w:ascii="Arial" w:hAnsi="Arial" w:cs="Arial"/>
        </w:rPr>
        <w:t xml:space="preserve"> в комплексе с </w:t>
      </w:r>
      <w:r w:rsidR="00DF5547">
        <w:rPr>
          <w:rFonts w:ascii="Arial" w:hAnsi="Arial" w:cs="Arial"/>
        </w:rPr>
        <w:t>ВИТАБАЛАНС 3000*</w:t>
      </w:r>
      <w:r w:rsidRPr="008F2881">
        <w:rPr>
          <w:rFonts w:ascii="Arial" w:hAnsi="Arial" w:cs="Arial"/>
        </w:rPr>
        <w:t xml:space="preserve"> клинические проявления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не развились.</w:t>
      </w:r>
    </w:p>
    <w:p w:rsidR="00DD3BF9" w:rsidRDefault="00DD3BF9" w:rsidP="007B5192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Таким образом, </w:t>
      </w:r>
      <w:r w:rsidR="00DF5547">
        <w:rPr>
          <w:rFonts w:ascii="Arial" w:hAnsi="Arial" w:cs="Arial"/>
        </w:rPr>
        <w:t>ВИТАБАЛАНС 3000*</w:t>
      </w:r>
      <w:r w:rsidRPr="008F2881">
        <w:rPr>
          <w:rFonts w:ascii="Arial" w:hAnsi="Arial" w:cs="Arial"/>
        </w:rPr>
        <w:t xml:space="preserve"> является эффективным средством профилактики и лечения </w:t>
      </w:r>
      <w:proofErr w:type="spellStart"/>
      <w:r w:rsidRPr="008F2881">
        <w:rPr>
          <w:rFonts w:ascii="Arial" w:hAnsi="Arial" w:cs="Arial"/>
        </w:rPr>
        <w:t>дисбактериоза</w:t>
      </w:r>
      <w:proofErr w:type="spellEnd"/>
      <w:r w:rsidRPr="008F2881">
        <w:rPr>
          <w:rFonts w:ascii="Arial" w:hAnsi="Arial" w:cs="Arial"/>
        </w:rPr>
        <w:t xml:space="preserve"> кишечника.</w:t>
      </w:r>
    </w:p>
    <w:p w:rsidR="00D50465" w:rsidRDefault="00D50465" w:rsidP="007B5192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50465" w:rsidRPr="008F2881" w:rsidRDefault="00D50465" w:rsidP="00D50465">
      <w:pPr>
        <w:spacing w:after="0" w:line="240" w:lineRule="auto"/>
        <w:jc w:val="both"/>
        <w:rPr>
          <w:rFonts w:ascii="Arial" w:hAnsi="Arial" w:cs="Arial"/>
        </w:rPr>
      </w:pPr>
    </w:p>
    <w:p w:rsidR="00D14925" w:rsidRDefault="00D14925" w:rsidP="00D1492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Биологически активный комплекс </w:t>
      </w:r>
      <w:r w:rsidR="00DF5547">
        <w:rPr>
          <w:rFonts w:ascii="Arial" w:hAnsi="Arial" w:cs="Arial"/>
        </w:rPr>
        <w:t>ВИТАБАЛАНС 3000*</w:t>
      </w:r>
      <w:r w:rsidR="008E4BBE" w:rsidRPr="008E4BBE">
        <w:rPr>
          <w:rFonts w:ascii="Arial" w:hAnsi="Arial" w:cs="Arial"/>
        </w:rPr>
        <w:t xml:space="preserve"> </w:t>
      </w:r>
      <w:r w:rsidR="008E4BBE">
        <w:rPr>
          <w:rFonts w:ascii="Arial" w:hAnsi="Arial" w:cs="Arial"/>
        </w:rPr>
        <w:t xml:space="preserve">и </w:t>
      </w:r>
      <w:r w:rsidR="008E4BBE" w:rsidRPr="008F2881">
        <w:rPr>
          <w:rFonts w:ascii="Arial" w:hAnsi="Arial" w:cs="Arial"/>
        </w:rPr>
        <w:t>МУКА ИЕРУСАЛИМСКОГО АРТИШОКА</w:t>
      </w:r>
      <w:r w:rsidR="008E4BBE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в настоящее время снят с производства. </w:t>
      </w:r>
      <w:r w:rsidR="008E4BBE">
        <w:rPr>
          <w:rFonts w:ascii="Arial" w:hAnsi="Arial" w:cs="Arial"/>
        </w:rPr>
        <w:t xml:space="preserve">Их </w:t>
      </w:r>
      <w:r>
        <w:rPr>
          <w:rFonts w:ascii="Arial" w:hAnsi="Arial" w:cs="Arial"/>
        </w:rPr>
        <w:t xml:space="preserve">аналог: ПРОБИОТИК КОМПЛЕКС </w:t>
      </w:r>
      <w:proofErr w:type="gramStart"/>
      <w:r>
        <w:rPr>
          <w:rFonts w:ascii="Arial" w:hAnsi="Arial" w:cs="Arial"/>
        </w:rPr>
        <w:t>ПРО</w:t>
      </w:r>
      <w:proofErr w:type="gramEnd"/>
      <w:r>
        <w:rPr>
          <w:rFonts w:ascii="Arial" w:hAnsi="Arial" w:cs="Arial"/>
        </w:rPr>
        <w:t>.</w:t>
      </w:r>
    </w:p>
    <w:p w:rsidR="00DD3BF9" w:rsidRPr="008F2881" w:rsidRDefault="00DD3BF9" w:rsidP="008F2881">
      <w:pPr>
        <w:jc w:val="both"/>
        <w:rPr>
          <w:rFonts w:ascii="Arial" w:hAnsi="Arial" w:cs="Arial"/>
        </w:rPr>
      </w:pPr>
    </w:p>
    <w:p w:rsidR="00DD3BF9" w:rsidRPr="008F2881" w:rsidRDefault="00DD3BF9" w:rsidP="008F2881">
      <w:pPr>
        <w:jc w:val="both"/>
        <w:rPr>
          <w:rFonts w:ascii="Arial" w:hAnsi="Arial" w:cs="Arial"/>
        </w:rPr>
      </w:pPr>
      <w:r w:rsidRPr="008F2881">
        <w:rPr>
          <w:rFonts w:ascii="Arial" w:hAnsi="Arial" w:cs="Arial"/>
        </w:rPr>
        <w:t xml:space="preserve"> </w:t>
      </w:r>
    </w:p>
    <w:p w:rsidR="00413CE6" w:rsidRPr="008F2881" w:rsidRDefault="00413CE6">
      <w:pPr>
        <w:jc w:val="right"/>
        <w:rPr>
          <w:rFonts w:ascii="Arial" w:hAnsi="Arial" w:cs="Arial"/>
          <w:i/>
        </w:rPr>
      </w:pPr>
    </w:p>
    <w:sectPr w:rsidR="00413CE6" w:rsidRPr="008F2881" w:rsidSect="008F28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F9"/>
    <w:rsid w:val="00413CE6"/>
    <w:rsid w:val="005D642A"/>
    <w:rsid w:val="007B5192"/>
    <w:rsid w:val="00846755"/>
    <w:rsid w:val="008537CD"/>
    <w:rsid w:val="008E4BBE"/>
    <w:rsid w:val="008F2881"/>
    <w:rsid w:val="00962DFC"/>
    <w:rsid w:val="00981474"/>
    <w:rsid w:val="00A66C4F"/>
    <w:rsid w:val="00B851D3"/>
    <w:rsid w:val="00BC67CF"/>
    <w:rsid w:val="00CD7A75"/>
    <w:rsid w:val="00D14925"/>
    <w:rsid w:val="00D50465"/>
    <w:rsid w:val="00DD3BF9"/>
    <w:rsid w:val="00DF5547"/>
    <w:rsid w:val="00E13820"/>
    <w:rsid w:val="00F1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gofman_natalia</dc:creator>
  <cp:keywords/>
  <dc:description/>
  <cp:lastModifiedBy>gofman_natalia</cp:lastModifiedBy>
  <cp:revision>20</cp:revision>
  <dcterms:created xsi:type="dcterms:W3CDTF">2011-02-15T09:13:00Z</dcterms:created>
  <dcterms:modified xsi:type="dcterms:W3CDTF">2011-06-29T08:22:00Z</dcterms:modified>
</cp:coreProperties>
</file>